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357442A" w:rsidR="00324A06" w:rsidRDefault="00324A06" w:rsidP="00C91A9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363F2E">
        <w:rPr>
          <w:b/>
          <w:bCs/>
          <w:i/>
          <w:noProof/>
          <w:sz w:val="28"/>
        </w:rPr>
        <w:t>09311</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43D883D" w:rsidR="001E41F3" w:rsidRPr="00410371" w:rsidRDefault="00B24AA5" w:rsidP="00E13F3D">
            <w:pPr>
              <w:pStyle w:val="CRCoverPage"/>
              <w:spacing w:after="0"/>
              <w:jc w:val="right"/>
              <w:rPr>
                <w:b/>
                <w:noProof/>
                <w:sz w:val="28"/>
              </w:rPr>
            </w:pPr>
            <w:r>
              <w:fldChar w:fldCharType="begin"/>
            </w:r>
            <w:r>
              <w:instrText xml:space="preserve"> DOCPROPERTY  Spec#  \* MERGEFORMAT </w:instrText>
            </w:r>
            <w:r>
              <w:fldChar w:fldCharType="separate"/>
            </w:r>
            <w:r w:rsidR="00F96C67">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8EE1C7" w:rsidR="001E41F3" w:rsidRPr="00410371" w:rsidRDefault="00B24AA5" w:rsidP="00547111">
            <w:pPr>
              <w:pStyle w:val="CRCoverPage"/>
              <w:spacing w:after="0"/>
              <w:rPr>
                <w:noProof/>
              </w:rPr>
            </w:pPr>
            <w:r>
              <w:fldChar w:fldCharType="begin"/>
            </w:r>
            <w:r>
              <w:instrText xml:space="preserve"> DOCPROPERTY  Cr#  \* MERGEFORMAT </w:instrText>
            </w:r>
            <w:r>
              <w:fldChar w:fldCharType="separate"/>
            </w:r>
            <w:r w:rsidR="00363F2E">
              <w:rPr>
                <w:b/>
                <w:noProof/>
                <w:sz w:val="28"/>
              </w:rPr>
              <w:t>0304</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24AA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8F042F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24AA5">
              <w:fldChar w:fldCharType="begin"/>
            </w:r>
            <w:r w:rsidR="00B24AA5">
              <w:instrText xml:space="preserve"> DOCPROPERTY  Version  \* MERGEFORMAT </w:instrText>
            </w:r>
            <w:r w:rsidR="00B24AA5">
              <w:fldChar w:fldCharType="separate"/>
            </w:r>
            <w:r w:rsidR="00F96C67">
              <w:rPr>
                <w:b/>
                <w:noProof/>
                <w:sz w:val="28"/>
              </w:rPr>
              <w:t>1</w:t>
            </w:r>
            <w:r w:rsidR="00564374">
              <w:rPr>
                <w:b/>
                <w:noProof/>
                <w:sz w:val="28"/>
              </w:rPr>
              <w:t>6</w:t>
            </w:r>
            <w:r w:rsidR="002807BD">
              <w:rPr>
                <w:b/>
                <w:noProof/>
                <w:sz w:val="28"/>
              </w:rPr>
              <w:t>.</w:t>
            </w:r>
            <w:r w:rsidR="00564374">
              <w:rPr>
                <w:b/>
                <w:noProof/>
                <w:sz w:val="28"/>
              </w:rPr>
              <w:t>3</w:t>
            </w:r>
            <w:r w:rsidR="002807BD">
              <w:rPr>
                <w:b/>
                <w:noProof/>
                <w:sz w:val="28"/>
              </w:rPr>
              <w:t>.</w:t>
            </w:r>
            <w:r w:rsidR="00246512">
              <w:rPr>
                <w:b/>
                <w:noProof/>
                <w:sz w:val="28"/>
              </w:rPr>
              <w:t>0</w:t>
            </w:r>
            <w:r w:rsidR="00B24AA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C3AF89A" w:rsidR="00F25D98" w:rsidRDefault="00F96C6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D6004BC" w:rsidR="00F25D98" w:rsidRDefault="00F96C6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A6E82D4" w:rsidR="001E41F3" w:rsidRDefault="00B723EA" w:rsidP="00324A06">
            <w:pPr>
              <w:pStyle w:val="CRCoverPage"/>
              <w:spacing w:before="20" w:after="20"/>
              <w:ind w:left="100"/>
              <w:rPr>
                <w:noProof/>
              </w:rPr>
            </w:pPr>
            <w:r>
              <w:t xml:space="preserve">Cell </w:t>
            </w:r>
            <w:r w:rsidR="006368D4">
              <w:t>Terminology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7E970BC" w:rsidR="001E41F3" w:rsidRDefault="00294EF6" w:rsidP="00324A06">
            <w:pPr>
              <w:pStyle w:val="CRCoverPage"/>
              <w:spacing w:before="20" w:after="20"/>
              <w:ind w:left="100"/>
              <w:rPr>
                <w:noProof/>
              </w:rPr>
            </w:pPr>
            <w:r w:rsidRPr="00294EF6">
              <w:rPr>
                <w:noProof/>
              </w:rPr>
              <w:t>Nokia (Rapporteur), Nokia Shanghai Bell, Sanechips,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B295E6C" w:rsidR="001E41F3" w:rsidRDefault="00B24AA5" w:rsidP="00324A06">
            <w:pPr>
              <w:pStyle w:val="CRCoverPage"/>
              <w:spacing w:before="20" w:after="20"/>
              <w:ind w:left="100"/>
              <w:rPr>
                <w:noProof/>
              </w:rPr>
            </w:pPr>
            <w:r>
              <w:fldChar w:fldCharType="begin"/>
            </w:r>
            <w:r>
              <w:instrText xml:space="preserve"> DOCPROPERTY  RelatedWis  \* MERGEFORMAT </w:instrText>
            </w:r>
            <w:r>
              <w:fldChar w:fldCharType="separate"/>
            </w:r>
            <w:r w:rsidR="009936BC">
              <w:rPr>
                <w:lang w:val="en-US" w:bidi="ar"/>
              </w:rPr>
              <w:t>NR_newRAT-Core</w:t>
            </w:r>
            <w:r w:rsidR="009936BC">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4BCAD4" w:rsidR="001E41F3" w:rsidRDefault="00324A06" w:rsidP="00324A06">
            <w:pPr>
              <w:pStyle w:val="CRCoverPage"/>
              <w:spacing w:before="20" w:after="20"/>
              <w:ind w:left="100"/>
              <w:rPr>
                <w:noProof/>
              </w:rPr>
            </w:pPr>
            <w:r>
              <w:t>20</w:t>
            </w:r>
            <w:r w:rsidR="007066A2">
              <w:t>20</w:t>
            </w:r>
            <w:r>
              <w:t>-</w:t>
            </w:r>
            <w:r w:rsidR="00F96C67">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8418B95" w:rsidR="001E41F3" w:rsidRDefault="00564374" w:rsidP="00324A06">
            <w:pPr>
              <w:pStyle w:val="CRCoverPage"/>
              <w:spacing w:before="20" w:after="20"/>
              <w:ind w:left="100" w:right="-609"/>
              <w:rPr>
                <w:b/>
                <w:noProof/>
              </w:rPr>
            </w:pPr>
            <w: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9F0B2F2" w:rsidR="001E41F3" w:rsidRDefault="00B24AA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96C67">
              <w:rPr>
                <w:noProof/>
              </w:rPr>
              <w:t>1</w:t>
            </w:r>
            <w:r w:rsidR="00564374">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316E2B3" w:rsidR="001E41F3" w:rsidRDefault="00A23553" w:rsidP="00895309">
            <w:pPr>
              <w:pStyle w:val="CRCoverPage"/>
              <w:spacing w:before="20" w:after="80"/>
              <w:ind w:left="102"/>
              <w:rPr>
                <w:noProof/>
              </w:rPr>
            </w:pPr>
            <w:r>
              <w:rPr>
                <w:noProof/>
              </w:rPr>
              <w:t xml:space="preserve">The Stage 2 contains </w:t>
            </w:r>
            <w:r w:rsidR="001D48BD">
              <w:rPr>
                <w:noProof/>
              </w:rPr>
              <w:t>27</w:t>
            </w:r>
            <w:r>
              <w:rPr>
                <w:noProof/>
              </w:rPr>
              <w:t xml:space="preserve"> occurences of PCell, </w:t>
            </w:r>
            <w:r w:rsidR="000140D1">
              <w:rPr>
                <w:noProof/>
              </w:rPr>
              <w:t>3</w:t>
            </w:r>
            <w:r>
              <w:rPr>
                <w:noProof/>
              </w:rPr>
              <w:t xml:space="preserve"> of SpCell and </w:t>
            </w:r>
            <w:r w:rsidR="00846A0D">
              <w:rPr>
                <w:noProof/>
              </w:rPr>
              <w:t>5</w:t>
            </w:r>
            <w:r>
              <w:rPr>
                <w:noProof/>
              </w:rPr>
              <w:t>8 of SCells</w:t>
            </w:r>
            <w:r w:rsidR="00127F12">
              <w:rPr>
                <w:noProof/>
              </w:rPr>
              <w:t>.</w:t>
            </w:r>
            <w:r>
              <w:rPr>
                <w:noProof/>
              </w:rPr>
              <w:t xml:space="preserve"> In case of DC, it is not clear whether the existing statements </w:t>
            </w:r>
            <w:r w:rsidR="002E5A3A">
              <w:rPr>
                <w:noProof/>
              </w:rPr>
              <w:t>related to</w:t>
            </w:r>
            <w:r>
              <w:rPr>
                <w:noProof/>
              </w:rPr>
              <w:t xml:space="preserve"> the </w:t>
            </w:r>
            <w:r w:rsidR="00AE2D99">
              <w:rPr>
                <w:noProof/>
              </w:rPr>
              <w:t>PCell (of MN/MCG) can also apply to the PSCell (of SN/SCG).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62A76" w14:textId="3213C4C6" w:rsidR="00014977" w:rsidRDefault="00051697" w:rsidP="00324A06">
            <w:pPr>
              <w:pStyle w:val="CRCoverPage"/>
              <w:spacing w:before="20" w:after="80"/>
              <w:ind w:left="100"/>
              <w:rPr>
                <w:noProof/>
              </w:rPr>
            </w:pPr>
            <w:r>
              <w:rPr>
                <w:noProof/>
              </w:rPr>
              <w:t>Existing occurences of SpCell are removed and a generic statement is added with a reference to 37.340</w:t>
            </w:r>
            <w:r w:rsidR="002E5A3A">
              <w:rPr>
                <w:noProof/>
              </w:rPr>
              <w:t xml:space="preserve"> to explain that unless otherwise indicated, PCell can be understood as SpCell</w:t>
            </w:r>
            <w:r w:rsidR="00014977">
              <w:rPr>
                <w:noProof/>
              </w:rPr>
              <w:t>.</w:t>
            </w:r>
          </w:p>
          <w:p w14:paraId="3B70AEC1" w14:textId="10CB508B" w:rsidR="00B64343" w:rsidRDefault="00B64343" w:rsidP="00324A06">
            <w:pPr>
              <w:pStyle w:val="CRCoverPage"/>
              <w:spacing w:before="20" w:after="80"/>
              <w:ind w:left="100"/>
              <w:rPr>
                <w:noProof/>
              </w:rPr>
            </w:pPr>
            <w:r>
              <w:rPr>
                <w:noProof/>
              </w:rPr>
              <w:t xml:space="preserve">PCell is </w:t>
            </w:r>
            <w:r w:rsidR="00A07319">
              <w:rPr>
                <w:noProof/>
              </w:rPr>
              <w:t xml:space="preserve">intentionally </w:t>
            </w:r>
            <w:r>
              <w:rPr>
                <w:noProof/>
              </w:rPr>
              <w:t>not replaced by SpCell to keep TS 38.300 agnostic to DC and maintain a clean split between 38.300 and 37.340.</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9D3C5D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995960">
              <w:rPr>
                <w:noProof/>
              </w:rPr>
              <w:t>MR-DC</w:t>
            </w:r>
            <w:r w:rsidR="00127F12">
              <w:rPr>
                <w:noProof/>
              </w:rPr>
              <w:t>.</w:t>
            </w:r>
          </w:p>
          <w:p w14:paraId="7BF90C37" w14:textId="25229D94" w:rsidR="00324A06" w:rsidRDefault="00324A06" w:rsidP="00617AD9">
            <w:pPr>
              <w:pStyle w:val="CRCoverPage"/>
              <w:spacing w:before="20" w:after="80"/>
              <w:ind w:left="100"/>
              <w:rPr>
                <w:noProof/>
              </w:rPr>
            </w:pPr>
            <w:r w:rsidRPr="00441533">
              <w:rPr>
                <w:noProof/>
                <w:u w:val="single"/>
              </w:rPr>
              <w:t>Inter-operability</w:t>
            </w:r>
            <w:r>
              <w:rPr>
                <w:noProof/>
              </w:rPr>
              <w:t xml:space="preserve">: </w:t>
            </w:r>
            <w:r w:rsidR="00617AD9">
              <w:rPr>
                <w:noProof/>
              </w:rPr>
              <w:t xml:space="preserve">none as the correponding </w:t>
            </w:r>
            <w:r w:rsidR="00127F12">
              <w:rPr>
                <w:noProof/>
              </w:rPr>
              <w:t>mechanisms</w:t>
            </w:r>
            <w:r w:rsidR="00617AD9">
              <w:rPr>
                <w:noProof/>
              </w:rPr>
              <w:t xml:space="preserve"> are captured in </w:t>
            </w:r>
            <w:r w:rsidR="00127F12">
              <w:rPr>
                <w:noProof/>
              </w:rPr>
              <w:t>stage 3 specifications.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DA02ABE" w:rsidR="00324A06" w:rsidRDefault="00B24AA5" w:rsidP="00324A06">
            <w:pPr>
              <w:pStyle w:val="CRCoverPage"/>
              <w:spacing w:after="0"/>
              <w:ind w:left="100"/>
              <w:rPr>
                <w:noProof/>
              </w:rPr>
            </w:pPr>
            <w:r>
              <w:rPr>
                <w:noProof/>
              </w:rPr>
              <w:t>If MR-DC is configured, it is not clear whether what is now described for an NR PCell in 38.300 also applies to an NR PSCell.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EB945F" w:rsidR="00324A06" w:rsidRDefault="00E07B92" w:rsidP="00324A06">
            <w:pPr>
              <w:pStyle w:val="CRCoverPage"/>
              <w:spacing w:before="20" w:after="20"/>
              <w:ind w:left="102"/>
              <w:rPr>
                <w:noProof/>
              </w:rPr>
            </w:pPr>
            <w:r>
              <w:rPr>
                <w:noProof/>
              </w:rPr>
              <w:t>3.</w:t>
            </w:r>
            <w:r w:rsidR="008F3B90">
              <w:rPr>
                <w:noProof/>
              </w:rPr>
              <w:t xml:space="preserve">2, </w:t>
            </w:r>
            <w:r w:rsidR="001F34F9">
              <w:rPr>
                <w:noProof/>
              </w:rPr>
              <w:t xml:space="preserve">4.5, </w:t>
            </w:r>
            <w:r w:rsidR="003E291B">
              <w:rPr>
                <w:noProof/>
              </w:rPr>
              <w:t>5.6.1,</w:t>
            </w:r>
            <w:r w:rsidR="000573C6">
              <w:rPr>
                <w:noProof/>
              </w:rPr>
              <w:t xml:space="preserve"> </w:t>
            </w:r>
            <w:r w:rsidR="003E291B">
              <w:rPr>
                <w:noProof/>
              </w:rPr>
              <w:t xml:space="preserve">10.6, </w:t>
            </w:r>
            <w:r w:rsidR="000573C6">
              <w:rPr>
                <w:noProof/>
              </w:rPr>
              <w:t>16.1.3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298547" w:rsidR="00324A06" w:rsidRDefault="00923D2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6AC182"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EAE2B7" w:rsidR="00324A06" w:rsidRDefault="00923D2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D8E8D6B"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084BDE" w:rsidR="00324A06" w:rsidRDefault="00923D2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00D3F8A6"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7C86B2B3" w14:textId="77777777" w:rsidR="00051F43" w:rsidRPr="00F1484D" w:rsidRDefault="00051F43" w:rsidP="00051F43">
      <w:pPr>
        <w:pStyle w:val="Heading2"/>
      </w:pPr>
      <w:bookmarkStart w:id="2" w:name="_Toc20387887"/>
      <w:bookmarkStart w:id="3" w:name="_Toc29375966"/>
      <w:bookmarkStart w:id="4" w:name="_Toc37231823"/>
      <w:bookmarkStart w:id="5" w:name="_Toc46501876"/>
      <w:bookmarkStart w:id="6" w:name="_Toc51971224"/>
      <w:bookmarkStart w:id="7" w:name="_Toc52551207"/>
      <w:r w:rsidRPr="00F1484D">
        <w:t>3.2</w:t>
      </w:r>
      <w:r w:rsidRPr="00F1484D">
        <w:tab/>
        <w:t>Definitions</w:t>
      </w:r>
      <w:bookmarkEnd w:id="2"/>
      <w:bookmarkEnd w:id="3"/>
      <w:bookmarkEnd w:id="4"/>
      <w:bookmarkEnd w:id="5"/>
      <w:bookmarkEnd w:id="6"/>
      <w:bookmarkEnd w:id="7"/>
    </w:p>
    <w:p w14:paraId="568278A8" w14:textId="77777777" w:rsidR="00051F43" w:rsidRPr="00F1484D" w:rsidRDefault="00051F43" w:rsidP="00051F43">
      <w:r w:rsidRPr="00F1484D">
        <w:t>For the purposes of the present document, the terms and definitions given in TR 21.905 [1], in TS 36.300 [2] and the following apply. A term defined in the present document takes precedence over the definition of the same term, if any, in TR 21.905 [1] and TS 36.300 [2].</w:t>
      </w:r>
    </w:p>
    <w:p w14:paraId="665BBA24" w14:textId="77777777" w:rsidR="00051F43" w:rsidRPr="00F1484D" w:rsidRDefault="00051F43" w:rsidP="00051F43">
      <w:pPr>
        <w:rPr>
          <w:b/>
        </w:rPr>
      </w:pPr>
      <w:r w:rsidRPr="00F1484D">
        <w:rPr>
          <w:b/>
          <w:bCs/>
        </w:rPr>
        <w:t>BH RLC channel</w:t>
      </w:r>
      <w:r w:rsidRPr="00F1484D">
        <w:t>: an RLC channel between two nodes, which is used to transport backhaul packets</w:t>
      </w:r>
      <w:r w:rsidRPr="00F1484D">
        <w:rPr>
          <w:b/>
        </w:rPr>
        <w:t>.</w:t>
      </w:r>
    </w:p>
    <w:p w14:paraId="6800F39B" w14:textId="77777777" w:rsidR="00051F43" w:rsidRPr="00F1484D" w:rsidRDefault="00051F43" w:rsidP="00051F43">
      <w:pPr>
        <w:rPr>
          <w:bCs/>
        </w:rPr>
      </w:pPr>
      <w:r w:rsidRPr="00F1484D">
        <w:rPr>
          <w:b/>
        </w:rPr>
        <w:t>CAG Cell</w:t>
      </w:r>
      <w:r w:rsidRPr="00F1484D">
        <w:rPr>
          <w:bCs/>
        </w:rPr>
        <w:t>:</w:t>
      </w:r>
      <w:r w:rsidRPr="00F1484D">
        <w:rPr>
          <w:b/>
        </w:rPr>
        <w:t xml:space="preserve"> </w:t>
      </w:r>
      <w:r w:rsidRPr="00F1484D">
        <w:rPr>
          <w:bCs/>
        </w:rPr>
        <w:t xml:space="preserve">a PLMN cell broadcasting at least one </w:t>
      </w:r>
      <w:r w:rsidRPr="00F1484D">
        <w:t>Closed Access Group</w:t>
      </w:r>
      <w:r w:rsidRPr="00F1484D">
        <w:rPr>
          <w:bCs/>
        </w:rPr>
        <w:t xml:space="preserve"> identity.</w:t>
      </w:r>
    </w:p>
    <w:p w14:paraId="078E7D2B" w14:textId="77777777" w:rsidR="00051F43" w:rsidRPr="00F1484D" w:rsidRDefault="00051F43" w:rsidP="00051F43">
      <w:r w:rsidRPr="00F1484D">
        <w:rPr>
          <w:b/>
        </w:rPr>
        <w:t>CAG Member Cell</w:t>
      </w:r>
      <w:r w:rsidRPr="00F1484D">
        <w:rPr>
          <w:bCs/>
        </w:rPr>
        <w:t>:</w:t>
      </w:r>
      <w:r w:rsidRPr="00F1484D">
        <w:rPr>
          <w:b/>
        </w:rPr>
        <w:t xml:space="preserve"> </w:t>
      </w:r>
      <w:r w:rsidRPr="00F1484D">
        <w:rPr>
          <w:bCs/>
        </w:rPr>
        <w:t xml:space="preserve">for a UE, </w:t>
      </w:r>
      <w:r w:rsidRPr="00F1484D">
        <w:t>a CAG cell broadcasting the identity of the selected PLMN, registered PLMN or equivalent PLMN, and for that PLMN, a CAG identifier belonging to the Allowed CAG list of the UE for that PLMN.</w:t>
      </w:r>
    </w:p>
    <w:p w14:paraId="006497C4" w14:textId="77777777" w:rsidR="00051F43" w:rsidRPr="00F1484D" w:rsidRDefault="00051F43" w:rsidP="00051F43">
      <w:pPr>
        <w:rPr>
          <w:bCs/>
        </w:rPr>
      </w:pPr>
      <w:r w:rsidRPr="00F1484D">
        <w:rPr>
          <w:b/>
        </w:rPr>
        <w:t>CAG-only cell</w:t>
      </w:r>
      <w:r w:rsidRPr="00F1484D">
        <w:rPr>
          <w:bCs/>
        </w:rPr>
        <w:t xml:space="preserve">: a </w:t>
      </w:r>
      <w:r w:rsidRPr="00F1484D">
        <w:t xml:space="preserve">CAG </w:t>
      </w:r>
      <w:r w:rsidRPr="00F1484D">
        <w:rPr>
          <w:bCs/>
        </w:rPr>
        <w:t>cell that is only available for normal service for CAG UEs.</w:t>
      </w:r>
    </w:p>
    <w:p w14:paraId="2E1EF612" w14:textId="77777777" w:rsidR="00051F43" w:rsidRPr="00F1484D" w:rsidRDefault="00051F43" w:rsidP="00051F43">
      <w:r w:rsidRPr="00F1484D">
        <w:rPr>
          <w:b/>
        </w:rPr>
        <w:t>Cell-Defining SSB</w:t>
      </w:r>
      <w:r w:rsidRPr="00F1484D">
        <w:rPr>
          <w:bCs/>
        </w:rPr>
        <w:t>:</w:t>
      </w:r>
      <w:r w:rsidRPr="00F1484D">
        <w:t xml:space="preserve"> an SSB with an RMSI associated.</w:t>
      </w:r>
    </w:p>
    <w:p w14:paraId="74D2EF66" w14:textId="77777777" w:rsidR="00051F43" w:rsidRPr="00F1484D" w:rsidRDefault="00051F43" w:rsidP="00051F43">
      <w:r w:rsidRPr="00F1484D">
        <w:rPr>
          <w:b/>
        </w:rPr>
        <w:t>Child node</w:t>
      </w:r>
      <w:r w:rsidRPr="00F1484D">
        <w:t>: IAB-DU's and IAB-donor-DU's next hop neighbour node; the child node is also an IAB-node.</w:t>
      </w:r>
    </w:p>
    <w:p w14:paraId="5B3702A1" w14:textId="77777777" w:rsidR="00051F43" w:rsidRPr="00F1484D" w:rsidRDefault="00051F43" w:rsidP="00051F43">
      <w:r w:rsidRPr="00F1484D">
        <w:rPr>
          <w:rFonts w:eastAsia="SimSun"/>
          <w:b/>
          <w:lang w:eastAsia="zh-CN"/>
        </w:rPr>
        <w:t>Conditional Handover (CHO</w:t>
      </w:r>
      <w:r w:rsidRPr="00F1484D">
        <w:rPr>
          <w:rFonts w:eastAsia="SimSun"/>
          <w:bCs/>
          <w:lang w:eastAsia="zh-CN"/>
        </w:rPr>
        <w:t>):</w:t>
      </w:r>
      <w:r w:rsidRPr="00F1484D">
        <w:t xml:space="preserve"> a handover procedure that is executed only when execution condition(s) are met.</w:t>
      </w:r>
    </w:p>
    <w:p w14:paraId="686CCDF3" w14:textId="77777777" w:rsidR="00051F43" w:rsidRPr="00F1484D" w:rsidRDefault="00051F43" w:rsidP="00051F43">
      <w:r w:rsidRPr="00F1484D">
        <w:rPr>
          <w:b/>
        </w:rPr>
        <w:t>CORESET#0</w:t>
      </w:r>
      <w:r w:rsidRPr="00F1484D">
        <w:t>: the control resource set for at least SIB1 scheduling, can be configured either via MIB or via dedicated RRC signalling.</w:t>
      </w:r>
    </w:p>
    <w:p w14:paraId="3125DFF6" w14:textId="77777777" w:rsidR="00051F43" w:rsidRPr="00F1484D" w:rsidRDefault="00051F43" w:rsidP="00051F43">
      <w:r w:rsidRPr="00F1484D">
        <w:rPr>
          <w:b/>
        </w:rPr>
        <w:t>DAPS Handover</w:t>
      </w:r>
      <w:r w:rsidRPr="00F1484D">
        <w:t>: a handover procedure that maintains the source gNB connection after reception of RRC message for handover and until releasing the source cell after successful random access to the target gNB.</w:t>
      </w:r>
    </w:p>
    <w:p w14:paraId="150D9D70" w14:textId="77777777" w:rsidR="00051F43" w:rsidRPr="00F1484D" w:rsidRDefault="00051F43" w:rsidP="00051F43">
      <w:r w:rsidRPr="00F1484D">
        <w:rPr>
          <w:b/>
        </w:rPr>
        <w:t>Downstream</w:t>
      </w:r>
      <w:r w:rsidRPr="00F1484D">
        <w:t>: Direction toward child node or UE in IAB-topology.</w:t>
      </w:r>
    </w:p>
    <w:p w14:paraId="465D8696" w14:textId="77777777" w:rsidR="00051F43" w:rsidRPr="00F1484D" w:rsidRDefault="00051F43" w:rsidP="00051F43">
      <w:r w:rsidRPr="00F1484D">
        <w:rPr>
          <w:b/>
          <w:noProof/>
        </w:rPr>
        <w:t>Early Data Forwarding</w:t>
      </w:r>
      <w:r w:rsidRPr="00F1484D">
        <w:rPr>
          <w:noProof/>
        </w:rPr>
        <w:t>: data forwarding that is initiated before the UE executes the handover.</w:t>
      </w:r>
    </w:p>
    <w:p w14:paraId="0D010B7A" w14:textId="77777777" w:rsidR="00051F43" w:rsidRPr="00F1484D" w:rsidRDefault="00051F43" w:rsidP="00051F43">
      <w:r w:rsidRPr="00F1484D">
        <w:rPr>
          <w:b/>
        </w:rPr>
        <w:t>gNB</w:t>
      </w:r>
      <w:r w:rsidRPr="00F1484D">
        <w:t>: node providing NR user plane and control plane protocol terminations towards the UE, and connected via the NG interface to the 5GC.</w:t>
      </w:r>
    </w:p>
    <w:p w14:paraId="7C21F8C5" w14:textId="77777777" w:rsidR="00051F43" w:rsidRPr="00F1484D" w:rsidRDefault="00051F43" w:rsidP="00051F43">
      <w:r w:rsidRPr="00F1484D">
        <w:rPr>
          <w:b/>
        </w:rPr>
        <w:t>IAB-donor</w:t>
      </w:r>
      <w:r w:rsidRPr="00F1484D">
        <w:rPr>
          <w:bCs/>
        </w:rPr>
        <w:t>:</w:t>
      </w:r>
      <w:r w:rsidRPr="00F1484D">
        <w:rPr>
          <w:b/>
        </w:rPr>
        <w:t xml:space="preserve"> </w:t>
      </w:r>
      <w:r w:rsidRPr="00F1484D">
        <w:t>gNB that provides network access to UEs via a network of backhaul and access links.</w:t>
      </w:r>
    </w:p>
    <w:p w14:paraId="3E519946" w14:textId="77777777" w:rsidR="00051F43" w:rsidRPr="00F1484D" w:rsidRDefault="00051F43" w:rsidP="00051F43">
      <w:r w:rsidRPr="00F1484D">
        <w:rPr>
          <w:b/>
        </w:rPr>
        <w:t>IAB-donor-CU</w:t>
      </w:r>
      <w:r w:rsidRPr="00F1484D">
        <w:t>: as defined in TS 38.401 [4].</w:t>
      </w:r>
    </w:p>
    <w:p w14:paraId="5B71E812" w14:textId="77777777" w:rsidR="00051F43" w:rsidRPr="00F1484D" w:rsidRDefault="00051F43" w:rsidP="00051F43">
      <w:r w:rsidRPr="00F1484D">
        <w:rPr>
          <w:b/>
        </w:rPr>
        <w:t>IAB-donor-DU</w:t>
      </w:r>
      <w:r w:rsidRPr="00F1484D">
        <w:t>:</w:t>
      </w:r>
      <w:r w:rsidRPr="00F1484D">
        <w:rPr>
          <w:b/>
        </w:rPr>
        <w:t xml:space="preserve"> </w:t>
      </w:r>
      <w:r w:rsidRPr="00F1484D">
        <w:t>as defined in TS 38.401 [4].</w:t>
      </w:r>
    </w:p>
    <w:p w14:paraId="3BE0EBFB" w14:textId="77777777" w:rsidR="00051F43" w:rsidRPr="00F1484D" w:rsidRDefault="00051F43" w:rsidP="00051F43">
      <w:r w:rsidRPr="00F1484D">
        <w:rPr>
          <w:b/>
          <w:bCs/>
          <w:lang w:eastAsia="zh-CN"/>
        </w:rPr>
        <w:t>IAB-DU</w:t>
      </w:r>
      <w:r w:rsidRPr="00F1484D">
        <w:rPr>
          <w:lang w:eastAsia="zh-CN"/>
        </w:rPr>
        <w:t xml:space="preserve">: </w:t>
      </w:r>
      <w:r w:rsidRPr="00F1484D">
        <w:t>gNB-DU functionality supported by the IAB-node to terminate the NR access interface to UEs and next-hop IAB-nodes, and to terminate the F1 protocol to the gNB-CU functionality, as defined in TS 38.401 [4], on the IAB-donor.</w:t>
      </w:r>
    </w:p>
    <w:p w14:paraId="3EC9D62C" w14:textId="77777777" w:rsidR="00051F43" w:rsidRPr="00F1484D" w:rsidRDefault="00051F43" w:rsidP="00051F43">
      <w:pPr>
        <w:rPr>
          <w:lang w:eastAsia="zh-CN"/>
        </w:rPr>
      </w:pPr>
      <w:r w:rsidRPr="00F1484D">
        <w:rPr>
          <w:b/>
          <w:bCs/>
        </w:rPr>
        <w:t>IAB-MT</w:t>
      </w:r>
      <w:r w:rsidRPr="00F1484D">
        <w:t>: IAB-node function that terminates the Uu interface to the parent node using the procedures and behaviours specified for UEs unless stated otherwise. IAB-MT function used in 38-series of 3GPP Specifications corresponds to IAB-UE function defined in TS 23.501 [3].</w:t>
      </w:r>
    </w:p>
    <w:p w14:paraId="602A3597" w14:textId="77777777" w:rsidR="00051F43" w:rsidRPr="00F1484D" w:rsidRDefault="00051F43" w:rsidP="00051F43">
      <w:r w:rsidRPr="00F1484D">
        <w:rPr>
          <w:b/>
          <w:bCs/>
        </w:rPr>
        <w:t>IAB-node</w:t>
      </w:r>
      <w:r w:rsidRPr="00F1484D">
        <w:t>: RAN node that supports NR access links to UEs and NR backhaul links to parent nodes and child nodes. The IAB-node does not support backhauling via LTE.</w:t>
      </w:r>
    </w:p>
    <w:p w14:paraId="4E56D95E" w14:textId="77777777" w:rsidR="00051F43" w:rsidRPr="00F1484D" w:rsidRDefault="00051F43" w:rsidP="00051F43">
      <w:r w:rsidRPr="00F1484D">
        <w:rPr>
          <w:b/>
        </w:rPr>
        <w:t>Intra-system Handover</w:t>
      </w:r>
      <w:r w:rsidRPr="00F1484D">
        <w:rPr>
          <w:bCs/>
        </w:rPr>
        <w:t>:</w:t>
      </w:r>
      <w:r w:rsidRPr="00F1484D">
        <w:rPr>
          <w:b/>
        </w:rPr>
        <w:t xml:space="preserve"> </w:t>
      </w:r>
      <w:r w:rsidRPr="00F1484D">
        <w:t>Handover that does not involve a CN change (EPC or 5GC).</w:t>
      </w:r>
    </w:p>
    <w:p w14:paraId="74DDBA1F" w14:textId="77777777" w:rsidR="00051F43" w:rsidRPr="00F1484D" w:rsidRDefault="00051F43" w:rsidP="00051F43">
      <w:r w:rsidRPr="00F1484D">
        <w:rPr>
          <w:b/>
        </w:rPr>
        <w:t>Inter-system Handover</w:t>
      </w:r>
      <w:r w:rsidRPr="00F1484D">
        <w:rPr>
          <w:bCs/>
        </w:rPr>
        <w:t>:</w:t>
      </w:r>
      <w:r w:rsidRPr="00F1484D">
        <w:rPr>
          <w:b/>
        </w:rPr>
        <w:t xml:space="preserve"> </w:t>
      </w:r>
      <w:r w:rsidRPr="00F1484D">
        <w:t>Handover that involves a CN change (EPC or 5GC).</w:t>
      </w:r>
    </w:p>
    <w:p w14:paraId="793A2255" w14:textId="77777777" w:rsidR="00051F43" w:rsidRPr="00F1484D" w:rsidRDefault="00051F43" w:rsidP="00051F43">
      <w:r w:rsidRPr="00F1484D">
        <w:rPr>
          <w:b/>
          <w:noProof/>
        </w:rPr>
        <w:t>Late Data Forwarding</w:t>
      </w:r>
      <w:r w:rsidRPr="00F1484D">
        <w:rPr>
          <w:noProof/>
        </w:rPr>
        <w:t>: data forwarding that is initiated after the source NG-RAN node knows that the UE has successfully accessed a target NG-RAN node.</w:t>
      </w:r>
    </w:p>
    <w:p w14:paraId="46440672" w14:textId="77777777" w:rsidR="00051F43" w:rsidRPr="00F1484D" w:rsidRDefault="00051F43" w:rsidP="00051F43">
      <w:r w:rsidRPr="00F1484D">
        <w:rPr>
          <w:b/>
        </w:rPr>
        <w:t>MSG1</w:t>
      </w:r>
      <w:r w:rsidRPr="00F1484D">
        <w:t>: preamble transmission of the random access procedure for 4-step random access (RA) type.</w:t>
      </w:r>
    </w:p>
    <w:p w14:paraId="3AB82F16" w14:textId="77777777" w:rsidR="00051F43" w:rsidRPr="00F1484D" w:rsidRDefault="00051F43" w:rsidP="00051F43">
      <w:r w:rsidRPr="00F1484D">
        <w:rPr>
          <w:b/>
        </w:rPr>
        <w:t>MSG3</w:t>
      </w:r>
      <w:r w:rsidRPr="00F1484D">
        <w:t>: first scheduled transmission of the random access procedure.</w:t>
      </w:r>
    </w:p>
    <w:p w14:paraId="46F33981" w14:textId="77777777" w:rsidR="00051F43" w:rsidRPr="00F1484D" w:rsidRDefault="00051F43" w:rsidP="00051F43">
      <w:r w:rsidRPr="00F1484D">
        <w:rPr>
          <w:b/>
        </w:rPr>
        <w:t>MSGA</w:t>
      </w:r>
      <w:r w:rsidRPr="00F1484D">
        <w:rPr>
          <w:bCs/>
        </w:rPr>
        <w:t>:</w:t>
      </w:r>
      <w:r w:rsidRPr="00F1484D">
        <w:rPr>
          <w:b/>
        </w:rPr>
        <w:t xml:space="preserve"> </w:t>
      </w:r>
      <w:r w:rsidRPr="00F1484D">
        <w:t>preamble and payload transmissions of the random access procedure for 2-step RA type.</w:t>
      </w:r>
    </w:p>
    <w:p w14:paraId="7BF1F3E2" w14:textId="77777777" w:rsidR="00051F43" w:rsidRPr="00F1484D" w:rsidRDefault="00051F43" w:rsidP="00051F43">
      <w:pPr>
        <w:rPr>
          <w:b/>
        </w:rPr>
      </w:pPr>
      <w:r w:rsidRPr="00F1484D">
        <w:rPr>
          <w:b/>
        </w:rPr>
        <w:t>MSGB</w:t>
      </w:r>
      <w:r w:rsidRPr="00F1484D">
        <w:rPr>
          <w:bCs/>
        </w:rPr>
        <w:t>:</w:t>
      </w:r>
      <w:r w:rsidRPr="00F1484D">
        <w:rPr>
          <w:b/>
        </w:rPr>
        <w:t xml:space="preserve"> </w:t>
      </w:r>
      <w:r w:rsidRPr="00F1484D">
        <w:t>response to MSGA in the 2-step random access procedure. MSGB may consist of response(s) for contention resolution, fallback indication(s), and backoff indication.</w:t>
      </w:r>
    </w:p>
    <w:p w14:paraId="0C262622" w14:textId="77777777" w:rsidR="00051F43" w:rsidRPr="00F1484D" w:rsidRDefault="00051F43" w:rsidP="00051F43">
      <w:r w:rsidRPr="00F1484D">
        <w:rPr>
          <w:b/>
        </w:rPr>
        <w:t>Multi-hop backhauling</w:t>
      </w:r>
      <w:r w:rsidRPr="00F1484D">
        <w:t>: Using a chain of NR backhaul links between an IAB-node and an IAB-donor.</w:t>
      </w:r>
    </w:p>
    <w:p w14:paraId="2E9191BD" w14:textId="77777777" w:rsidR="00051F43" w:rsidRPr="00F1484D" w:rsidRDefault="00051F43" w:rsidP="00051F43">
      <w:r w:rsidRPr="00F1484D">
        <w:rPr>
          <w:b/>
        </w:rPr>
        <w:t>ng-eNB</w:t>
      </w:r>
      <w:r w:rsidRPr="00F1484D">
        <w:t>: node providing E-UTRA user plane and control plane protocol terminations towards the UE, and connected via the NG interface to the 5GC.</w:t>
      </w:r>
    </w:p>
    <w:p w14:paraId="2190B9A8" w14:textId="77777777" w:rsidR="00051F43" w:rsidRPr="00F1484D" w:rsidRDefault="00051F43" w:rsidP="00051F43">
      <w:r w:rsidRPr="00F1484D">
        <w:rPr>
          <w:b/>
        </w:rPr>
        <w:t>NG-C</w:t>
      </w:r>
      <w:r w:rsidRPr="00F1484D">
        <w:t>: control plane interface between NG-RAN and 5GC.</w:t>
      </w:r>
    </w:p>
    <w:p w14:paraId="482F2C23" w14:textId="77777777" w:rsidR="00051F43" w:rsidRPr="00F1484D" w:rsidRDefault="00051F43" w:rsidP="00051F43">
      <w:r w:rsidRPr="00F1484D">
        <w:rPr>
          <w:b/>
        </w:rPr>
        <w:t>NG-U</w:t>
      </w:r>
      <w:r w:rsidRPr="00F1484D">
        <w:t>: user plane interface between NG-RAN and 5GC.</w:t>
      </w:r>
    </w:p>
    <w:p w14:paraId="54BD06D7" w14:textId="77777777" w:rsidR="00051F43" w:rsidRPr="00F1484D" w:rsidRDefault="00051F43" w:rsidP="00051F43">
      <w:r w:rsidRPr="00F1484D">
        <w:rPr>
          <w:b/>
        </w:rPr>
        <w:t>NG-RAN node</w:t>
      </w:r>
      <w:r w:rsidRPr="00F1484D">
        <w:t>: either a gNB or an ng-eNB.</w:t>
      </w:r>
    </w:p>
    <w:p w14:paraId="72BC54EC" w14:textId="77777777" w:rsidR="00051F43" w:rsidRPr="00F1484D" w:rsidRDefault="00051F43" w:rsidP="00051F43">
      <w:pPr>
        <w:rPr>
          <w:bCs/>
        </w:rPr>
      </w:pPr>
      <w:r w:rsidRPr="00F1484D">
        <w:rPr>
          <w:b/>
        </w:rPr>
        <w:t>Non-CAG Cell</w:t>
      </w:r>
      <w:r w:rsidRPr="00F1484D">
        <w:rPr>
          <w:bCs/>
        </w:rPr>
        <w:t>: a PLMN cell which does not broadcast any Closed Access Group identity.</w:t>
      </w:r>
    </w:p>
    <w:p w14:paraId="3E12D460" w14:textId="77777777" w:rsidR="00051F43" w:rsidRPr="00F1484D" w:rsidRDefault="00051F43" w:rsidP="00051F43">
      <w:r w:rsidRPr="00F1484D">
        <w:rPr>
          <w:b/>
        </w:rPr>
        <w:t>NR backhaul link</w:t>
      </w:r>
      <w:r w:rsidRPr="00F1484D">
        <w:rPr>
          <w:bCs/>
        </w:rPr>
        <w:t>:</w:t>
      </w:r>
      <w:r w:rsidRPr="00F1484D">
        <w:t xml:space="preserve"> NR link used for backhauling between an IAB-node and an IAB-donor, and between IAB-nodes in case of a multi-hop backhauling.</w:t>
      </w:r>
    </w:p>
    <w:p w14:paraId="736A3D6A" w14:textId="77777777" w:rsidR="00051F43" w:rsidRPr="00F1484D" w:rsidRDefault="00051F43" w:rsidP="00051F43">
      <w:pPr>
        <w:rPr>
          <w:rFonts w:eastAsia="Malgun Gothic"/>
          <w:lang w:eastAsia="ko-KR"/>
        </w:rPr>
      </w:pPr>
      <w:r w:rsidRPr="00F1484D">
        <w:rPr>
          <w:b/>
        </w:rPr>
        <w:t>NR sidelink</w:t>
      </w:r>
      <w:r w:rsidRPr="00F1484D">
        <w:rPr>
          <w:b/>
          <w:lang w:eastAsia="ko-KR"/>
        </w:rPr>
        <w:t xml:space="preserve"> communication</w:t>
      </w:r>
      <w:r w:rsidRPr="00F1484D">
        <w:t>:</w:t>
      </w:r>
      <w:r w:rsidRPr="00F1484D">
        <w:rPr>
          <w:rFonts w:eastAsia="Malgun Gothic"/>
          <w:lang w:eastAsia="ko-KR"/>
        </w:rPr>
        <w:t xml:space="preserve"> </w:t>
      </w:r>
      <w:r w:rsidRPr="00F1484D">
        <w:t>AS functionality enabling at least V2X communication as defined in TS 23.287 [40], between two or more nearby UEs, using NR technology but not traversing any network node</w:t>
      </w:r>
      <w:r w:rsidRPr="00F1484D">
        <w:rPr>
          <w:rFonts w:eastAsia="Malgun Gothic"/>
          <w:lang w:eastAsia="ko-KR"/>
        </w:rPr>
        <w:t>.</w:t>
      </w:r>
    </w:p>
    <w:p w14:paraId="4DC303D8" w14:textId="77777777" w:rsidR="00051F43" w:rsidRPr="00F1484D" w:rsidRDefault="00051F43" w:rsidP="00051F43">
      <w:r w:rsidRPr="00F1484D">
        <w:rPr>
          <w:b/>
        </w:rPr>
        <w:t>Numerology</w:t>
      </w:r>
      <w:r w:rsidRPr="00F1484D">
        <w:t xml:space="preserve">: corresponds to one subcarrier spacing in the frequency domain. By scaling a reference subcarrier spacing by an integer </w:t>
      </w:r>
      <w:r w:rsidRPr="00F1484D">
        <w:rPr>
          <w:i/>
        </w:rPr>
        <w:t>N</w:t>
      </w:r>
      <w:r w:rsidRPr="00F1484D">
        <w:t>, different numerologies can be defined.</w:t>
      </w:r>
    </w:p>
    <w:p w14:paraId="4D774485" w14:textId="77777777" w:rsidR="00051F43" w:rsidRPr="00F1484D" w:rsidRDefault="00051F43" w:rsidP="00051F43">
      <w:r w:rsidRPr="00F1484D">
        <w:rPr>
          <w:b/>
        </w:rPr>
        <w:t>Parent node</w:t>
      </w:r>
      <w:r w:rsidRPr="00F1484D">
        <w:t>: IAB-MT's next hop neighbour node; the parent node can be IAB-node or IAB-donor-DU</w:t>
      </w:r>
    </w:p>
    <w:p w14:paraId="738C6DFE" w14:textId="77777777" w:rsidR="00051F43" w:rsidRPr="00F1484D" w:rsidRDefault="00051F43" w:rsidP="00051F43">
      <w:pPr>
        <w:rPr>
          <w:bCs/>
        </w:rPr>
      </w:pPr>
      <w:r w:rsidRPr="00F1484D">
        <w:rPr>
          <w:b/>
        </w:rPr>
        <w:t>PLMN Cell</w:t>
      </w:r>
      <w:r w:rsidRPr="00F1484D">
        <w:rPr>
          <w:bCs/>
        </w:rPr>
        <w:t>: a cell of the PLMN.</w:t>
      </w:r>
    </w:p>
    <w:p w14:paraId="6D6494A5" w14:textId="77777777" w:rsidR="00051F43" w:rsidRPr="00F1484D" w:rsidRDefault="00051F43" w:rsidP="00051F43">
      <w:pPr>
        <w:rPr>
          <w:bCs/>
        </w:rPr>
      </w:pPr>
      <w:r w:rsidRPr="00F1484D">
        <w:rPr>
          <w:b/>
        </w:rPr>
        <w:t>SNPN Access Mode</w:t>
      </w:r>
      <w:r w:rsidRPr="00F1484D">
        <w:rPr>
          <w:bCs/>
        </w:rPr>
        <w:t>: mode of operation whereby a UE only accesses SNPNs.</w:t>
      </w:r>
    </w:p>
    <w:p w14:paraId="46A76305" w14:textId="77777777" w:rsidR="00051F43" w:rsidRPr="00F1484D" w:rsidRDefault="00051F43" w:rsidP="00051F43">
      <w:pPr>
        <w:rPr>
          <w:bCs/>
        </w:rPr>
      </w:pPr>
      <w:r w:rsidRPr="00F1484D">
        <w:rPr>
          <w:b/>
        </w:rPr>
        <w:t>SNPN-only cell</w:t>
      </w:r>
      <w:r w:rsidRPr="00F1484D">
        <w:rPr>
          <w:bCs/>
        </w:rPr>
        <w:t>: a cell that is only available for normal service for SNPN subscribers.</w:t>
      </w:r>
    </w:p>
    <w:p w14:paraId="1E8E9202" w14:textId="77777777" w:rsidR="00051F43" w:rsidRPr="00F1484D" w:rsidRDefault="00051F43" w:rsidP="00051F43">
      <w:pPr>
        <w:rPr>
          <w:bCs/>
        </w:rPr>
      </w:pPr>
      <w:r w:rsidRPr="00F1484D">
        <w:rPr>
          <w:b/>
        </w:rPr>
        <w:t>SNPN Identity:</w:t>
      </w:r>
      <w:r w:rsidRPr="00F1484D">
        <w:rPr>
          <w:bCs/>
        </w:rPr>
        <w:t xml:space="preserve"> the </w:t>
      </w:r>
      <w:r w:rsidRPr="00F1484D">
        <w:t>identity of Stand-alone NPN defined by the pair (PLMN ID, NID).</w:t>
      </w:r>
    </w:p>
    <w:p w14:paraId="0C686935" w14:textId="77777777" w:rsidR="00971246" w:rsidRPr="00857FCF" w:rsidRDefault="00971246" w:rsidP="00971246">
      <w:pPr>
        <w:rPr>
          <w:ins w:id="8" w:author="Benoist" w:date="2020-10-20T14:07:00Z"/>
        </w:rPr>
      </w:pPr>
      <w:ins w:id="9" w:author="Benoist" w:date="2020-10-20T14:07:00Z">
        <w:r w:rsidRPr="00857FCF">
          <w:rPr>
            <w:b/>
          </w:rPr>
          <w:t>SpCell</w:t>
        </w:r>
        <w:r w:rsidRPr="00857FCF">
          <w:t>: primary cell of a master or secondary cell group</w:t>
        </w:r>
        <w:r>
          <w:t xml:space="preserve"> as defined in TS 37.340 [21]</w:t>
        </w:r>
        <w:r w:rsidRPr="00857FCF">
          <w:t>.</w:t>
        </w:r>
      </w:ins>
    </w:p>
    <w:p w14:paraId="5E840C60" w14:textId="77777777" w:rsidR="00051F43" w:rsidRPr="00F1484D" w:rsidRDefault="00051F43" w:rsidP="00051F43">
      <w:r w:rsidRPr="00F1484D">
        <w:rPr>
          <w:b/>
        </w:rPr>
        <w:t>Upstream</w:t>
      </w:r>
      <w:r w:rsidRPr="00F1484D">
        <w:t>: Direction toward parent node in IAB-topology.</w:t>
      </w:r>
    </w:p>
    <w:p w14:paraId="0ADB9AD1" w14:textId="77777777" w:rsidR="00051F43" w:rsidRPr="00F1484D" w:rsidRDefault="00051F43" w:rsidP="00051F43">
      <w:r w:rsidRPr="00F1484D">
        <w:rPr>
          <w:b/>
          <w:lang w:eastAsia="zh-CN"/>
        </w:rPr>
        <w:t>V2X s</w:t>
      </w:r>
      <w:r w:rsidRPr="00F1484D">
        <w:rPr>
          <w:b/>
        </w:rPr>
        <w:t>idelink</w:t>
      </w:r>
      <w:r w:rsidRPr="00F1484D">
        <w:rPr>
          <w:b/>
          <w:lang w:eastAsia="ko-KR"/>
        </w:rPr>
        <w:t xml:space="preserve"> communication</w:t>
      </w:r>
      <w:r w:rsidRPr="00F1484D">
        <w:t>:</w:t>
      </w:r>
      <w:r w:rsidRPr="00F1484D">
        <w:rPr>
          <w:lang w:eastAsia="ko-KR"/>
        </w:rPr>
        <w:t xml:space="preserve"> </w:t>
      </w:r>
      <w:r w:rsidRPr="00F1484D">
        <w:t>AS functionality enabling V2X communication as defined in TS 23.285 [</w:t>
      </w:r>
      <w:r w:rsidRPr="00F1484D">
        <w:rPr>
          <w:lang w:eastAsia="zh-CN"/>
        </w:rPr>
        <w:t>41</w:t>
      </w:r>
      <w:r w:rsidRPr="00F1484D">
        <w:t>], between nearby UEs, using E-UTRA technology but not traversing any network node.</w:t>
      </w:r>
    </w:p>
    <w:p w14:paraId="699A0C56" w14:textId="48B48650" w:rsidR="00062F5B" w:rsidRPr="00396DF6" w:rsidRDefault="00051F43" w:rsidP="00062F5B">
      <w:r w:rsidRPr="00F1484D">
        <w:rPr>
          <w:b/>
        </w:rPr>
        <w:t>Xn</w:t>
      </w:r>
      <w:r w:rsidRPr="00F1484D">
        <w:rPr>
          <w:bCs/>
        </w:rPr>
        <w:t>:</w:t>
      </w:r>
      <w:r w:rsidRPr="00F1484D">
        <w:t xml:space="preserve"> network interface between NG-RAN nodes.</w:t>
      </w:r>
    </w:p>
    <w:p w14:paraId="280AEC61" w14:textId="461B145D" w:rsidR="00833155" w:rsidRPr="00833155" w:rsidRDefault="00833155" w:rsidP="0083315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0" w:name="_Toc20387909"/>
      <w:bookmarkStart w:id="11" w:name="_Toc29374580"/>
      <w:bookmarkStart w:id="12" w:name="_Toc37068411"/>
      <w:bookmarkStart w:id="13" w:name="_Toc46524112"/>
      <w:bookmarkStart w:id="14" w:name="_Toc52550808"/>
      <w:r>
        <w:rPr>
          <w:i/>
        </w:rPr>
        <w:t>Next Modified Subclause</w:t>
      </w:r>
    </w:p>
    <w:p w14:paraId="5DA23D60" w14:textId="77777777" w:rsidR="00C5781A" w:rsidRPr="00F1484D" w:rsidRDefault="00C5781A" w:rsidP="00C5781A">
      <w:pPr>
        <w:pStyle w:val="Heading2"/>
      </w:pPr>
      <w:bookmarkStart w:id="15" w:name="_Toc29375988"/>
      <w:bookmarkStart w:id="16" w:name="_Toc37231858"/>
      <w:bookmarkStart w:id="17" w:name="_Toc46501913"/>
      <w:bookmarkStart w:id="18" w:name="_Toc51971261"/>
      <w:bookmarkStart w:id="19" w:name="_Toc52551244"/>
      <w:bookmarkStart w:id="20" w:name="_Toc37231883"/>
      <w:bookmarkStart w:id="21" w:name="_Toc46501938"/>
      <w:bookmarkStart w:id="22" w:name="_Toc51971286"/>
      <w:bookmarkStart w:id="23" w:name="_Toc52551269"/>
      <w:bookmarkStart w:id="24" w:name="_Toc20387959"/>
      <w:bookmarkStart w:id="25" w:name="_Toc29376038"/>
      <w:bookmarkStart w:id="26" w:name="_Toc37231927"/>
      <w:bookmarkStart w:id="27" w:name="_Toc46501982"/>
      <w:bookmarkStart w:id="28" w:name="_Toc51971330"/>
      <w:bookmarkStart w:id="29" w:name="_Toc52551313"/>
      <w:bookmarkStart w:id="30" w:name="_Toc20387901"/>
      <w:bookmarkStart w:id="31" w:name="_Toc29375980"/>
      <w:bookmarkStart w:id="32" w:name="_Toc37231837"/>
      <w:bookmarkStart w:id="33" w:name="_Toc46501890"/>
      <w:bookmarkStart w:id="34" w:name="_Toc51971238"/>
      <w:bookmarkStart w:id="35" w:name="_Toc52551221"/>
      <w:bookmarkEnd w:id="10"/>
      <w:bookmarkEnd w:id="11"/>
      <w:bookmarkEnd w:id="12"/>
      <w:bookmarkEnd w:id="13"/>
      <w:bookmarkEnd w:id="14"/>
      <w:r w:rsidRPr="00F1484D">
        <w:t>4.5</w:t>
      </w:r>
      <w:r w:rsidRPr="00F1484D">
        <w:tab/>
        <w:t>Multi-Radio Dual Connectivity</w:t>
      </w:r>
      <w:bookmarkEnd w:id="30"/>
      <w:bookmarkEnd w:id="31"/>
      <w:bookmarkEnd w:id="32"/>
      <w:bookmarkEnd w:id="33"/>
      <w:bookmarkEnd w:id="34"/>
      <w:bookmarkEnd w:id="35"/>
    </w:p>
    <w:p w14:paraId="34197932" w14:textId="77777777" w:rsidR="00C5781A" w:rsidRDefault="00C5781A" w:rsidP="00C5781A">
      <w:pPr>
        <w:rPr>
          <w:ins w:id="36" w:author="Benoist" w:date="2020-10-23T08:17:00Z"/>
        </w:rPr>
      </w:pPr>
      <w:r w:rsidRPr="00F1484D">
        <w:t>NG-RAN supports Multi-Radio Dual Connectivity (MR-DC) operation whereby a UE in RRC_CONNECTED is configured to utilise radio resources provided by two distinct schedulers, located in two different NG-RAN nodes connected via a non-ideal backhaul, one providing NR access and the other one providing either E-UTRA or NR access. Further details of MR-DC operation, including Conditional PSCell Change (CPC), can be found in TS 37.340 [21].</w:t>
      </w:r>
    </w:p>
    <w:p w14:paraId="504B4D87" w14:textId="77777777" w:rsidR="00C5781A" w:rsidRPr="00F1484D" w:rsidRDefault="00C5781A" w:rsidP="00C5781A">
      <w:ins w:id="37" w:author="Benoist" w:date="2020-10-23T08:17:00Z">
        <w:r>
          <w:t xml:space="preserve">In case of MR-DC, all the statements and mechanisms related to PCell (of MCG) described herein equally apply to the PSCell (of SCG) unless </w:t>
        </w:r>
        <w:proofErr w:type="spellStart"/>
        <w:r>
          <w:t>explicitely</w:t>
        </w:r>
        <w:proofErr w:type="spellEnd"/>
        <w:r>
          <w:t xml:space="preserve"> stated otherwise in t</w:t>
        </w:r>
        <w:r w:rsidRPr="00336C16">
          <w:rPr>
            <w:u w:val="single"/>
            <w:lang w:val="en-JP"/>
          </w:rPr>
          <w:t>his specification or</w:t>
        </w:r>
        <w:r>
          <w:rPr>
            <w:lang w:val="en-US"/>
          </w:rPr>
          <w:t xml:space="preserve"> in </w:t>
        </w:r>
        <w:r>
          <w:t>TS 37.340 [21]</w:t>
        </w:r>
        <w:r w:rsidRPr="00857FCF">
          <w:t>.</w:t>
        </w:r>
        <w:r>
          <w:t xml:space="preserve"> In other words, PCell can be equally understood as SpCell throughout this specification unless otherwise indicated</w:t>
        </w:r>
        <w:r w:rsidRPr="00857FCF">
          <w:t>.</w:t>
        </w:r>
      </w:ins>
    </w:p>
    <w:p w14:paraId="73EA1021" w14:textId="77777777" w:rsidR="00C5781A" w:rsidRPr="00833155" w:rsidRDefault="00C5781A" w:rsidP="00C5781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6FEE5DC" w14:textId="77777777" w:rsidR="00741AA7" w:rsidRPr="00F1484D" w:rsidRDefault="00741AA7" w:rsidP="00741AA7">
      <w:pPr>
        <w:pStyle w:val="Heading3"/>
      </w:pPr>
      <w:r w:rsidRPr="00F1484D">
        <w:t>5.2.4</w:t>
      </w:r>
      <w:r w:rsidRPr="00F1484D">
        <w:rPr>
          <w:rFonts w:ascii="Calibri" w:eastAsia="MS Mincho" w:hAnsi="Calibri"/>
          <w:sz w:val="22"/>
          <w:szCs w:val="22"/>
        </w:rPr>
        <w:tab/>
      </w:r>
      <w:r w:rsidRPr="00F1484D">
        <w:t>Synchronization signal and PBCH block</w:t>
      </w:r>
      <w:bookmarkEnd w:id="15"/>
      <w:bookmarkEnd w:id="16"/>
      <w:bookmarkEnd w:id="17"/>
      <w:bookmarkEnd w:id="18"/>
      <w:bookmarkEnd w:id="19"/>
    </w:p>
    <w:p w14:paraId="5BC50C33" w14:textId="77777777" w:rsidR="00741AA7" w:rsidRPr="00F1484D" w:rsidRDefault="00741AA7" w:rsidP="00741AA7">
      <w:r w:rsidRPr="00F1484D">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3171F438" w14:textId="0E07F2F3" w:rsidR="00741AA7" w:rsidRDefault="00741AA7" w:rsidP="00741AA7">
      <w:pPr>
        <w:rPr>
          <w:ins w:id="38" w:author="Benoist" w:date="2020-10-22T10:37:00Z"/>
        </w:rPr>
      </w:pPr>
      <w:r w:rsidRPr="00F1484D">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62001A09" w14:textId="672CBFC7" w:rsidR="00D3556F" w:rsidRPr="00F1484D" w:rsidRDefault="00D3556F">
      <w:pPr>
        <w:pStyle w:val="NO"/>
        <w:pPrChange w:id="39" w:author="Benoist" w:date="2020-10-22T10:37:00Z">
          <w:pPr/>
        </w:pPrChange>
      </w:pPr>
      <w:ins w:id="40" w:author="Benoist" w:date="2020-10-22T10:37:00Z">
        <w:r>
          <w:t>NOTE:</w:t>
        </w:r>
        <w:r>
          <w:tab/>
          <w:t>This statement does not necessarily apply to the PSCell in case of MR-DC.</w:t>
        </w:r>
      </w:ins>
    </w:p>
    <w:p w14:paraId="7BB2CD33" w14:textId="77777777" w:rsidR="00741AA7" w:rsidRPr="00F1484D" w:rsidRDefault="00C5781A" w:rsidP="00741AA7">
      <w:pPr>
        <w:pStyle w:val="TH"/>
      </w:pPr>
      <w:r w:rsidRPr="00F1484D">
        <w:rPr>
          <w:noProof/>
        </w:rPr>
      </w:r>
      <w:r w:rsidR="00C5781A" w:rsidRPr="00F1484D">
        <w:rPr>
          <w:noProof/>
        </w:rPr>
        <w:object w:dxaOrig="3170" w:dyaOrig="4988" w14:anchorId="49909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65pt;height:248.65pt;mso-width-percent:0;mso-height-percent:0;mso-width-percent:0;mso-height-percent:0" o:ole="">
            <v:imagedata r:id="rId17" o:title=""/>
          </v:shape>
          <o:OLEObject Type="Embed" ProgID="Visio.Drawing.11" ShapeID="_x0000_i1025" DrawAspect="Content" ObjectID="_1664948352" r:id="rId18"/>
        </w:object>
      </w:r>
    </w:p>
    <w:p w14:paraId="15771AF6" w14:textId="77777777" w:rsidR="00741AA7" w:rsidRPr="00F1484D" w:rsidRDefault="00741AA7" w:rsidP="00741AA7">
      <w:pPr>
        <w:pStyle w:val="TF"/>
      </w:pPr>
      <w:r w:rsidRPr="00F1484D">
        <w:t>Figure 5.2.4-1: Time-frequency structure of SSB</w:t>
      </w:r>
    </w:p>
    <w:p w14:paraId="1552058B" w14:textId="77777777" w:rsidR="00741AA7" w:rsidRPr="00F1484D" w:rsidRDefault="00741AA7" w:rsidP="00741AA7">
      <w:r w:rsidRPr="00F1484D">
        <w:t>Polar coding is used for PBCH.</w:t>
      </w:r>
    </w:p>
    <w:p w14:paraId="06AB657D" w14:textId="77777777" w:rsidR="00741AA7" w:rsidRPr="00F1484D" w:rsidRDefault="00741AA7" w:rsidP="00741AA7">
      <w:r w:rsidRPr="00F1484D">
        <w:t>The UE may assume a band-specific sub-carrier spacing for the SSB unless a network has configured the UE to assume a different sub-carrier spacing.</w:t>
      </w:r>
    </w:p>
    <w:p w14:paraId="78612487" w14:textId="77777777" w:rsidR="00741AA7" w:rsidRPr="00F1484D" w:rsidRDefault="00741AA7" w:rsidP="00741AA7">
      <w:r w:rsidRPr="00F1484D">
        <w:t>PBCH symbols carry its own frequency-multiplexed DMRS.</w:t>
      </w:r>
    </w:p>
    <w:p w14:paraId="41C3511E" w14:textId="77777777" w:rsidR="00741AA7" w:rsidRPr="00F1484D" w:rsidRDefault="00741AA7" w:rsidP="00741AA7">
      <w:r w:rsidRPr="00F1484D">
        <w:t>QPSK modulation is used for PBCH.</w:t>
      </w:r>
    </w:p>
    <w:p w14:paraId="7D0BD252" w14:textId="77777777" w:rsidR="00741AA7" w:rsidRPr="00F1484D" w:rsidRDefault="00741AA7" w:rsidP="00741AA7">
      <w:r w:rsidRPr="00F1484D">
        <w:t>The PBCH physical layer model is described in TS 38.202 [20].</w:t>
      </w:r>
    </w:p>
    <w:p w14:paraId="0FD51B43" w14:textId="77777777" w:rsidR="00741AA7" w:rsidRPr="00833155" w:rsidRDefault="00741AA7" w:rsidP="00741A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0200BD6" w14:textId="77777777" w:rsidR="008E63CE" w:rsidRPr="00F1484D" w:rsidRDefault="008E63CE" w:rsidP="008E63CE">
      <w:pPr>
        <w:pStyle w:val="Heading3"/>
      </w:pPr>
      <w:bookmarkStart w:id="41" w:name="_Toc20387927"/>
      <w:bookmarkStart w:id="42" w:name="_Toc29376006"/>
      <w:bookmarkStart w:id="43" w:name="_Toc37231879"/>
      <w:bookmarkStart w:id="44" w:name="_Toc46501934"/>
      <w:bookmarkStart w:id="45" w:name="_Toc51971282"/>
      <w:bookmarkStart w:id="46" w:name="_Toc52551265"/>
      <w:r w:rsidRPr="00F1484D">
        <w:t>5.4.1</w:t>
      </w:r>
      <w:r w:rsidRPr="00F1484D">
        <w:rPr>
          <w:rFonts w:ascii="Calibri" w:eastAsia="MS Mincho" w:hAnsi="Calibri"/>
          <w:sz w:val="22"/>
          <w:szCs w:val="22"/>
        </w:rPr>
        <w:tab/>
      </w:r>
      <w:r w:rsidRPr="00F1484D">
        <w:t>Carrier aggregation</w:t>
      </w:r>
      <w:bookmarkEnd w:id="41"/>
      <w:bookmarkEnd w:id="42"/>
      <w:bookmarkEnd w:id="43"/>
      <w:bookmarkEnd w:id="44"/>
      <w:bookmarkEnd w:id="45"/>
      <w:bookmarkEnd w:id="46"/>
    </w:p>
    <w:p w14:paraId="1872FBF8" w14:textId="77777777" w:rsidR="008E63CE" w:rsidRPr="00F1484D" w:rsidRDefault="008E63CE" w:rsidP="008E63CE">
      <w:r w:rsidRPr="00F1484D">
        <w:t>In Carrier Aggregation (CA), two or more Component Carriers (CCs) are aggregated. A UE may simultaneously receive or transmit on one or multiple CCs depending on its capabilities:</w:t>
      </w:r>
    </w:p>
    <w:p w14:paraId="0E3909E0" w14:textId="77777777" w:rsidR="008E63CE" w:rsidRPr="00F1484D" w:rsidRDefault="008E63CE" w:rsidP="008E63CE">
      <w:pPr>
        <w:pStyle w:val="B1"/>
      </w:pPr>
      <w:r w:rsidRPr="00F1484D">
        <w:t>-</w:t>
      </w:r>
      <w:r w:rsidRPr="00F1484D">
        <w:tab/>
        <w:t>A UE with single timing advance capability for CA can simultaneously receive and/or transmit on multiple CCs corresponding to multiple serving cells sharing the same timing advance (multiple serving cells grouped in one TAG);</w:t>
      </w:r>
    </w:p>
    <w:p w14:paraId="3D3C935E" w14:textId="77777777" w:rsidR="008E63CE" w:rsidRPr="00F1484D" w:rsidRDefault="008E63CE" w:rsidP="008E63CE">
      <w:pPr>
        <w:pStyle w:val="B1"/>
      </w:pPr>
      <w:r w:rsidRPr="00F1484D">
        <w:t>-</w:t>
      </w:r>
      <w:r w:rsidRPr="00F1484D">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14:paraId="57EE5171" w14:textId="77777777" w:rsidR="008E63CE" w:rsidRPr="00F1484D" w:rsidRDefault="008E63CE" w:rsidP="008E63CE">
      <w:pPr>
        <w:pStyle w:val="B1"/>
      </w:pPr>
      <w:r w:rsidRPr="00F1484D">
        <w:t>-</w:t>
      </w:r>
      <w:r w:rsidRPr="00F1484D">
        <w:tab/>
        <w:t>A non-CA capable UE can receive on a single CC and transmit on a single CC corresponding to one serving cell only (one serving cell in one TAG).</w:t>
      </w:r>
    </w:p>
    <w:p w14:paraId="6CB74326" w14:textId="77777777" w:rsidR="008E63CE" w:rsidRPr="00F1484D" w:rsidRDefault="008E63CE" w:rsidP="008E63CE">
      <w:r w:rsidRPr="00F1484D">
        <w:t>CA is supported for both contiguous and non-contiguous CCs. When CA is deployed frame timing and SFN are aligned across cells that can be aggregated, or an offset in multiples of slots between the PCell</w:t>
      </w:r>
      <w:del w:id="47" w:author="Benoist" w:date="2020-10-22T11:02:00Z">
        <w:r w:rsidRPr="00F1484D" w:rsidDel="00DA01AA">
          <w:delText>/PSCell</w:delText>
        </w:r>
      </w:del>
      <w:r w:rsidRPr="00F1484D">
        <w:t xml:space="preserve"> and an SCell is configured to the UE. The maximum number of configured CCs for a UE is 16 for DL and 16 for UL.</w:t>
      </w:r>
    </w:p>
    <w:p w14:paraId="51528DC0" w14:textId="77777777" w:rsidR="00DA01AA" w:rsidRPr="00833155" w:rsidRDefault="00DA01AA" w:rsidP="00DA01A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C959066" w14:textId="77777777" w:rsidR="00962E0E" w:rsidRPr="00F1484D" w:rsidRDefault="00962E0E" w:rsidP="00962E0E">
      <w:pPr>
        <w:pStyle w:val="Heading3"/>
      </w:pPr>
      <w:r w:rsidRPr="00F1484D">
        <w:t>5.6.1</w:t>
      </w:r>
      <w:r w:rsidRPr="00F1484D">
        <w:tab/>
        <w:t>Overview</w:t>
      </w:r>
      <w:bookmarkEnd w:id="20"/>
      <w:bookmarkEnd w:id="21"/>
      <w:bookmarkEnd w:id="22"/>
      <w:bookmarkEnd w:id="23"/>
    </w:p>
    <w:p w14:paraId="10D19A3C" w14:textId="087AE701" w:rsidR="00962E0E" w:rsidRPr="00F1484D" w:rsidRDefault="00962E0E" w:rsidP="00962E0E">
      <w:r w:rsidRPr="00F1484D">
        <w:t>NR Radio Access operating with shared spectrum channel access can operate in different modes where either PCell</w:t>
      </w:r>
      <w:del w:id="48" w:author="Benoist" w:date="2020-10-22T11:03:00Z">
        <w:r w:rsidRPr="00F1484D" w:rsidDel="0083701E">
          <w:delText>, PSCell,</w:delText>
        </w:r>
      </w:del>
      <w:r w:rsidRPr="00F1484D">
        <w:t xml:space="preserve"> or SCells can be in shared spectrum and an SCell may or may not be configured with uplink. The applicable deployment scenarios are described in Annex B.3.</w:t>
      </w:r>
    </w:p>
    <w:p w14:paraId="5416A8F7" w14:textId="77777777" w:rsidR="00962E0E" w:rsidRPr="00F1484D" w:rsidRDefault="00962E0E" w:rsidP="00962E0E">
      <w:r w:rsidRPr="00F1484D">
        <w:t xml:space="preserve">The gNB operates in either dynamic or semi-static channel access mode as described in TS 37.213 [37]. In both channel access modes, the gNB </w:t>
      </w:r>
      <w:r w:rsidRPr="00F1484D">
        <w:rPr>
          <w:lang w:eastAsia="zh-CN"/>
        </w:rPr>
        <w:t xml:space="preserve">and UE may </w:t>
      </w:r>
      <w:r w:rsidRPr="00F1484D">
        <w:t>appl</w:t>
      </w:r>
      <w:r w:rsidRPr="00F1484D">
        <w:rPr>
          <w:lang w:eastAsia="zh-CN"/>
        </w:rPr>
        <w:t>y</w:t>
      </w:r>
      <w:r w:rsidRPr="00F1484D">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Pr="00F1484D">
        <w:rPr>
          <w:lang w:eastAsia="ko-KR"/>
        </w:rPr>
        <w:t>if the channel is sensed free.</w:t>
      </w:r>
    </w:p>
    <w:p w14:paraId="045CFC47" w14:textId="5E46B080" w:rsidR="00962E0E" w:rsidRPr="00F1484D" w:rsidRDefault="00962E0E" w:rsidP="00962E0E">
      <w:r w:rsidRPr="00F1484D">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gNB (MN for MCG, SN for SCG) via MAC CE on a different serving cell than the SCell(s) where the failures were detected. If no resources are available to transmit the MAC CE, a Scheduling Request (SR) can be transmitted by the UE. When consistent uplink LBT failures are detected on </w:t>
      </w:r>
      <w:del w:id="49" w:author="Benoist" w:date="2020-10-20T14:16:00Z">
        <w:r w:rsidRPr="00F1484D" w:rsidDel="00156EC5">
          <w:delText>SpCell</w:delText>
        </w:r>
      </w:del>
      <w:ins w:id="50" w:author="Benoist" w:date="2020-10-20T14:16:00Z">
        <w:r w:rsidR="00156EC5">
          <w:t>P</w:t>
        </w:r>
        <w:r w:rsidR="00156EC5" w:rsidRPr="00F1484D">
          <w:t>Cell</w:t>
        </w:r>
      </w:ins>
      <w:r w:rsidRPr="00F1484D">
        <w:t xml:space="preserve">, the UE switches to another UL BWP with configured RACH resources on that cell, initiates RACH, and reports the failure via MAC CE. When multiple UL BWPs are available for switching, it is up to the UE implementation which one to select. For PSCell, if consistent uplink LBT failures are detected on all the UL BWPs with configured RACH resources, the UE declares SCG RLF and reports the failure to the MN via </w:t>
      </w:r>
      <w:r w:rsidRPr="00F1484D">
        <w:rPr>
          <w:i/>
          <w:iCs/>
        </w:rPr>
        <w:t>SCGFailureInformation.</w:t>
      </w:r>
      <w:r w:rsidRPr="00F1484D">
        <w:t xml:space="preserve"> For PCell, if the uplink LBT failures are detected on all the UL BWP(s) with configured RACH resources, the UE declares RLF.</w:t>
      </w:r>
    </w:p>
    <w:p w14:paraId="789D83A4" w14:textId="77777777" w:rsidR="00343EB4" w:rsidRPr="00833155" w:rsidRDefault="00343EB4" w:rsidP="00343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ED4D840" w14:textId="77777777" w:rsidR="000840E2" w:rsidRPr="00F1484D" w:rsidRDefault="000840E2" w:rsidP="000840E2">
      <w:pPr>
        <w:pStyle w:val="Heading4"/>
      </w:pPr>
      <w:bookmarkStart w:id="51" w:name="_Toc20387981"/>
      <w:bookmarkStart w:id="52" w:name="_Toc29376061"/>
      <w:bookmarkStart w:id="53" w:name="_Toc37231952"/>
      <w:bookmarkStart w:id="54" w:name="_Toc46502007"/>
      <w:bookmarkStart w:id="55" w:name="_Toc51971355"/>
      <w:bookmarkStart w:id="56" w:name="_Toc52551338"/>
      <w:bookmarkStart w:id="57" w:name="_Toc20387989"/>
      <w:bookmarkStart w:id="58" w:name="_Toc29376069"/>
      <w:bookmarkStart w:id="59" w:name="_Toc37231963"/>
      <w:bookmarkStart w:id="60" w:name="_Toc46502020"/>
      <w:bookmarkStart w:id="61" w:name="_Toc51971368"/>
      <w:bookmarkStart w:id="62" w:name="_Toc52551351"/>
      <w:bookmarkEnd w:id="24"/>
      <w:bookmarkEnd w:id="25"/>
      <w:bookmarkEnd w:id="26"/>
      <w:bookmarkEnd w:id="27"/>
      <w:bookmarkEnd w:id="28"/>
      <w:bookmarkEnd w:id="29"/>
      <w:r w:rsidRPr="00F1484D">
        <w:t>9.2.3.1</w:t>
      </w:r>
      <w:r w:rsidRPr="00F1484D">
        <w:tab/>
        <w:t>Overview</w:t>
      </w:r>
      <w:bookmarkEnd w:id="51"/>
      <w:bookmarkEnd w:id="52"/>
      <w:bookmarkEnd w:id="53"/>
      <w:bookmarkEnd w:id="54"/>
      <w:bookmarkEnd w:id="55"/>
      <w:bookmarkEnd w:id="56"/>
    </w:p>
    <w:p w14:paraId="1678D5E9" w14:textId="77777777" w:rsidR="000840E2" w:rsidRPr="00F1484D" w:rsidRDefault="000840E2" w:rsidP="000840E2">
      <w:r w:rsidRPr="00F1484D">
        <w:t>Network controlled mobility applies to UEs in RRC_CONNECTED and is categorized into two types of mobility: cell level mobility and beam level mobility.</w:t>
      </w:r>
    </w:p>
    <w:p w14:paraId="34B30A23" w14:textId="77777777" w:rsidR="000840E2" w:rsidRPr="00F1484D" w:rsidRDefault="000840E2" w:rsidP="000840E2">
      <w:r w:rsidRPr="00F1484D">
        <w:rPr>
          <w:b/>
        </w:rPr>
        <w:t>Cell Level Mobility</w:t>
      </w:r>
      <w:r w:rsidRPr="00F1484D">
        <w:t xml:space="preserve"> requires explicit RRC signalling to be triggered, i.e. handover. For inter-gNB handover, the signalling procedures consist of at least the following elemental components illustrated in Figure 9.2.3.1-1:</w:t>
      </w:r>
    </w:p>
    <w:p w14:paraId="5398A6EC" w14:textId="77777777" w:rsidR="000840E2" w:rsidRPr="00F1484D" w:rsidRDefault="00C5781A" w:rsidP="000840E2">
      <w:pPr>
        <w:pStyle w:val="TH"/>
      </w:pPr>
      <w:r w:rsidRPr="00F1484D">
        <w:rPr>
          <w:noProof/>
        </w:rPr>
      </w:r>
      <w:r w:rsidR="00C5781A" w:rsidRPr="00F1484D">
        <w:rPr>
          <w:noProof/>
        </w:rPr>
        <w:object w:dxaOrig="9360" w:dyaOrig="4140" w14:anchorId="087C5547">
          <v:shape id="_x0000_i1026" type="#_x0000_t75" alt="" style="width:352pt;height:155.35pt;mso-width-percent:0;mso-height-percent:0;mso-width-percent:0;mso-height-percent:0" o:ole="">
            <v:imagedata r:id="rId19" o:title=""/>
          </v:shape>
          <o:OLEObject Type="Embed" ProgID="Mscgen.Chart" ShapeID="_x0000_i1026" DrawAspect="Content" ObjectID="_1664948353" r:id="rId20"/>
        </w:object>
      </w:r>
    </w:p>
    <w:p w14:paraId="22488D25" w14:textId="77777777" w:rsidR="000840E2" w:rsidRPr="00F1484D" w:rsidRDefault="000840E2" w:rsidP="000840E2">
      <w:pPr>
        <w:pStyle w:val="TF"/>
      </w:pPr>
      <w:r w:rsidRPr="00F1484D">
        <w:t>Figure 9.2.3.1-1: Inter-gNB handover procedures</w:t>
      </w:r>
    </w:p>
    <w:p w14:paraId="545B7D03" w14:textId="77777777" w:rsidR="000840E2" w:rsidRPr="00F1484D" w:rsidRDefault="000840E2" w:rsidP="000840E2">
      <w:pPr>
        <w:pStyle w:val="B1"/>
      </w:pPr>
      <w:r w:rsidRPr="00F1484D">
        <w:t>1.</w:t>
      </w:r>
      <w:r w:rsidRPr="00F1484D">
        <w:tab/>
        <w:t>The source gNB initiates handover and issues a HANDOVER REQUEST over the Xn interface.</w:t>
      </w:r>
    </w:p>
    <w:p w14:paraId="54D7BB3F" w14:textId="77777777" w:rsidR="000840E2" w:rsidRPr="00F1484D" w:rsidRDefault="000840E2" w:rsidP="000840E2">
      <w:pPr>
        <w:pStyle w:val="B1"/>
      </w:pPr>
      <w:r w:rsidRPr="00F1484D">
        <w:t>2.</w:t>
      </w:r>
      <w:r w:rsidRPr="00F1484D">
        <w:tab/>
        <w:t>The target gNB performs admission control and provides the new RRC configuration as part of the HANDOVER REQUEST ACKNOWLEDGE.</w:t>
      </w:r>
    </w:p>
    <w:p w14:paraId="733753F3" w14:textId="77777777" w:rsidR="000840E2" w:rsidRPr="00F1484D" w:rsidRDefault="000840E2" w:rsidP="000840E2">
      <w:pPr>
        <w:pStyle w:val="B1"/>
      </w:pPr>
      <w:r w:rsidRPr="00F1484D">
        <w:t>3.</w:t>
      </w:r>
      <w:r w:rsidRPr="00F1484D">
        <w:tab/>
        <w:t xml:space="preserve">The source gNB provides the RRC configuration to the UE by forwarding the </w:t>
      </w:r>
      <w:r w:rsidRPr="00F1484D">
        <w:rPr>
          <w:i/>
        </w:rPr>
        <w:t>RRCReconfiguration</w:t>
      </w:r>
      <w:r w:rsidRPr="00F1484D">
        <w:t xml:space="preserve"> message received in the HANDOVER REQUEST ACKNOWLEDGE. The </w:t>
      </w:r>
      <w:r w:rsidRPr="00F1484D">
        <w:rPr>
          <w:i/>
        </w:rPr>
        <w:t>RRCReconfiguration</w:t>
      </w:r>
      <w:r w:rsidRPr="00F1484D">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F1484D">
        <w:rPr>
          <w:i/>
        </w:rPr>
        <w:t>RRCReconfiguration</w:t>
      </w:r>
      <w:r w:rsidRPr="00F1484D">
        <w:t xml:space="preserve"> message. The access information to the target cell may include beam specific information, if any.</w:t>
      </w:r>
    </w:p>
    <w:p w14:paraId="2C9C78FB" w14:textId="77777777" w:rsidR="000840E2" w:rsidRPr="00F1484D" w:rsidRDefault="000840E2" w:rsidP="000840E2">
      <w:pPr>
        <w:pStyle w:val="B1"/>
      </w:pPr>
      <w:r w:rsidRPr="00F1484D">
        <w:t>4.</w:t>
      </w:r>
      <w:r w:rsidRPr="00F1484D">
        <w:tab/>
        <w:t xml:space="preserve">The UE moves the RRC connection to the target gNB and replies with the </w:t>
      </w:r>
      <w:r w:rsidRPr="00F1484D">
        <w:rPr>
          <w:i/>
        </w:rPr>
        <w:t>RRCReconfigurationComplete</w:t>
      </w:r>
      <w:r w:rsidRPr="00F1484D">
        <w:t>.</w:t>
      </w:r>
    </w:p>
    <w:p w14:paraId="09D9F7A6" w14:textId="77777777" w:rsidR="000840E2" w:rsidRPr="00F1484D" w:rsidRDefault="000840E2" w:rsidP="000840E2">
      <w:pPr>
        <w:pStyle w:val="NO"/>
      </w:pPr>
      <w:r w:rsidRPr="00F1484D">
        <w:t>NOTE 1:</w:t>
      </w:r>
      <w:r w:rsidRPr="00F1484D">
        <w:tab/>
        <w:t>User Data can also be sent in step 4 if the grant allows.</w:t>
      </w:r>
    </w:p>
    <w:p w14:paraId="09FE5334" w14:textId="77777777" w:rsidR="000840E2" w:rsidRPr="00F1484D" w:rsidRDefault="000840E2" w:rsidP="000840E2">
      <w:r w:rsidRPr="00F1484D">
        <w:t>In case of DAPS handover, the UE continues the downlink user data reception from the source gNB until releasing the source cell and continues the uplink user data transmission to the source gNB until successful random access procedure to the target gNB.</w:t>
      </w:r>
    </w:p>
    <w:p w14:paraId="7CCAB8B2" w14:textId="77777777" w:rsidR="000840E2" w:rsidRPr="00F1484D" w:rsidRDefault="000840E2" w:rsidP="000840E2">
      <w:r w:rsidRPr="00F1484D">
        <w:t>The handover mechanism triggered by RRC requires the UE at least to reset the MAC entity and re-establish RLC, except for DAPS handover, where upon reception of the handover command, the UE:</w:t>
      </w:r>
    </w:p>
    <w:p w14:paraId="081C7775" w14:textId="77777777" w:rsidR="000840E2" w:rsidRPr="00F1484D" w:rsidRDefault="000840E2" w:rsidP="000840E2">
      <w:pPr>
        <w:pStyle w:val="B1"/>
      </w:pPr>
      <w:r w:rsidRPr="00F1484D">
        <w:t>-</w:t>
      </w:r>
      <w:r w:rsidRPr="00F1484D">
        <w:tab/>
        <w:t>Creates a MAC entity for target;</w:t>
      </w:r>
    </w:p>
    <w:p w14:paraId="471F8178" w14:textId="77777777" w:rsidR="000840E2" w:rsidRPr="00F1484D" w:rsidRDefault="000840E2" w:rsidP="000840E2">
      <w:pPr>
        <w:pStyle w:val="B1"/>
      </w:pPr>
      <w:r w:rsidRPr="00F1484D">
        <w:t>-</w:t>
      </w:r>
      <w:r w:rsidRPr="00F1484D">
        <w:tab/>
        <w:t>Establishes the RLC entity and an associated DTCH logical channel for target for each DRB configured with DAPS;</w:t>
      </w:r>
    </w:p>
    <w:p w14:paraId="1EB6BAC1" w14:textId="77777777" w:rsidR="000840E2" w:rsidRPr="00F1484D" w:rsidRDefault="000840E2" w:rsidP="000840E2">
      <w:pPr>
        <w:pStyle w:val="B1"/>
      </w:pPr>
      <w:bookmarkStart w:id="63" w:name="_Hlk22837273"/>
      <w:r w:rsidRPr="00F1484D">
        <w:t>-</w:t>
      </w:r>
      <w:r w:rsidRPr="00F1484D">
        <w:tab/>
        <w:t>For the DRB configured with DAPS, reconfigures the PDCP entity with separate security and ROHC functions for source and target and associates them with the RLC entities configured by source and target respectively;</w:t>
      </w:r>
    </w:p>
    <w:bookmarkEnd w:id="63"/>
    <w:p w14:paraId="63272FA4" w14:textId="77777777" w:rsidR="000840E2" w:rsidRPr="00F1484D" w:rsidRDefault="000840E2" w:rsidP="000840E2">
      <w:pPr>
        <w:pStyle w:val="B1"/>
      </w:pPr>
      <w:r w:rsidRPr="00F1484D">
        <w:t>-</w:t>
      </w:r>
      <w:r w:rsidRPr="00F1484D">
        <w:tab/>
        <w:t>Retains the rest of the source configurations until release of the source.</w:t>
      </w:r>
    </w:p>
    <w:p w14:paraId="715B82E3" w14:textId="77777777" w:rsidR="000840E2" w:rsidRPr="00F1484D" w:rsidRDefault="000840E2" w:rsidP="000840E2">
      <w:pPr>
        <w:pStyle w:val="NO"/>
        <w:rPr>
          <w:lang w:eastAsia="zh-CN"/>
        </w:rPr>
      </w:pPr>
      <w:r w:rsidRPr="00F1484D">
        <w:t>NOTE 2:</w:t>
      </w:r>
      <w:r w:rsidRPr="00F1484D">
        <w:tab/>
        <w:t>The handling on RLC and PDCP for DRBs without DAPS is same as in normal handover.</w:t>
      </w:r>
    </w:p>
    <w:p w14:paraId="5EB93646" w14:textId="2F684120" w:rsidR="000840E2" w:rsidRPr="00F1484D" w:rsidRDefault="000840E2" w:rsidP="000840E2">
      <w:pPr>
        <w:pStyle w:val="NO"/>
      </w:pPr>
      <w:r w:rsidRPr="00F1484D">
        <w:t>NOTE 3:</w:t>
      </w:r>
      <w:r w:rsidRPr="00F1484D">
        <w:tab/>
        <w:t xml:space="preserve">Only PCell is kept during DAPS handover. All other serving cells </w:t>
      </w:r>
      <w:ins w:id="64" w:author="Benoist" w:date="2020-10-22T11:05:00Z">
        <w:r w:rsidR="00466581">
          <w:t>(</w:t>
        </w:r>
      </w:ins>
      <w:ins w:id="65" w:author="Benoist" w:date="2020-10-22T11:06:00Z">
        <w:r w:rsidR="00773D49">
          <w:t xml:space="preserve">PSCell and </w:t>
        </w:r>
      </w:ins>
      <w:ins w:id="66" w:author="Benoist" w:date="2020-10-22T11:05:00Z">
        <w:r w:rsidR="00466581">
          <w:t>S</w:t>
        </w:r>
        <w:r w:rsidR="00845F42">
          <w:t>Cells</w:t>
        </w:r>
        <w:r w:rsidR="00466581">
          <w:t xml:space="preserve">) </w:t>
        </w:r>
      </w:ins>
      <w:r w:rsidRPr="00F1484D">
        <w:t>are released by the network.</w:t>
      </w:r>
    </w:p>
    <w:p w14:paraId="0264065B" w14:textId="77777777" w:rsidR="000840E2" w:rsidRPr="00F1484D" w:rsidRDefault="000840E2" w:rsidP="000840E2">
      <w:r w:rsidRPr="00F1484D">
        <w:rPr>
          <w:lang w:eastAsia="zh-CN"/>
        </w:rPr>
        <w:t>RRC managed handovers with and without PDCP entity re-establishment are both supported.</w:t>
      </w:r>
      <w:r w:rsidRPr="00F1484D">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52548C40" w14:textId="77777777" w:rsidR="000840E2" w:rsidRPr="00F1484D" w:rsidRDefault="000840E2" w:rsidP="000840E2">
      <w:r w:rsidRPr="00F1484D">
        <w:t>Data forwarding, in-sequence delivery and duplication avoidance at handover can be guaranteed when the target gNB uses the same DRB configuration as the source gNB.</w:t>
      </w:r>
    </w:p>
    <w:p w14:paraId="10956020" w14:textId="77777777" w:rsidR="000840E2" w:rsidRPr="00F1484D" w:rsidRDefault="000840E2" w:rsidP="000840E2">
      <w:pPr>
        <w:rPr>
          <w:lang w:eastAsia="en-GB"/>
        </w:rPr>
      </w:pPr>
      <w:r w:rsidRPr="00F1484D">
        <w:t>Timer based handover failure procedure is supported in NR. RRC connection re-establishment procedure is used for recovering from handover failure except in certain CHO or DAPS scenarios:</w:t>
      </w:r>
    </w:p>
    <w:p w14:paraId="4D95732E" w14:textId="77777777" w:rsidR="000840E2" w:rsidRPr="00F1484D" w:rsidRDefault="000840E2" w:rsidP="000840E2">
      <w:pPr>
        <w:pStyle w:val="B1"/>
      </w:pPr>
      <w:r w:rsidRPr="00F1484D">
        <w:t>-</w:t>
      </w:r>
      <w:r w:rsidRPr="00F1484D">
        <w:tab/>
        <w:t>When DAPS HO fails, the UE falls back to source cell configuration, resumes the connection with source cell, and reports DAPS HO failure via the source without triggering RRC connection re-establishment if the source link has not been released.</w:t>
      </w:r>
    </w:p>
    <w:p w14:paraId="79709774" w14:textId="77777777" w:rsidR="000840E2" w:rsidRPr="00F1484D" w:rsidRDefault="000840E2" w:rsidP="000840E2">
      <w:pPr>
        <w:pStyle w:val="B1"/>
      </w:pPr>
      <w:r w:rsidRPr="00F1484D">
        <w:t>-</w:t>
      </w:r>
      <w:r w:rsidRPr="00F1484D">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6F6F44FC" w14:textId="77777777" w:rsidR="000840E2" w:rsidRPr="00F1484D" w:rsidRDefault="000840E2" w:rsidP="000840E2">
      <w:pPr>
        <w:rPr>
          <w:lang w:eastAsia="zh-CN"/>
        </w:rPr>
      </w:pPr>
      <w:r w:rsidRPr="00F1484D">
        <w:rPr>
          <w:lang w:eastAsia="zh-CN"/>
        </w:rPr>
        <w:t>DAPS handover for FR2 to FR2 case is not supported in this release of the specification.</w:t>
      </w:r>
    </w:p>
    <w:p w14:paraId="1AB65D87" w14:textId="77777777" w:rsidR="000840E2" w:rsidRPr="00F1484D" w:rsidRDefault="000840E2" w:rsidP="000840E2">
      <w:r w:rsidRPr="00F1484D">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612EBFC2" w14:textId="77777777" w:rsidR="000840E2" w:rsidRPr="00F1484D" w:rsidRDefault="000840E2" w:rsidP="000840E2">
      <w:r w:rsidRPr="00F1484D">
        <w:rPr>
          <w:b/>
        </w:rPr>
        <w:t xml:space="preserve">Beam Level Mobility </w:t>
      </w:r>
      <w:r w:rsidRPr="00F1484D">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597F6CC3" w14:textId="77777777" w:rsidR="000840E2" w:rsidRPr="00F1484D" w:rsidRDefault="000840E2" w:rsidP="000840E2">
      <w:r w:rsidRPr="00F1484D">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714E793" w14:textId="77777777" w:rsidR="00DA01AA" w:rsidRPr="00833155" w:rsidRDefault="00DA01AA" w:rsidP="00DA01A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7E09735" w14:textId="77777777" w:rsidR="002D5398" w:rsidRPr="00F1484D" w:rsidRDefault="002D5398" w:rsidP="002D5398">
      <w:pPr>
        <w:pStyle w:val="Heading3"/>
      </w:pPr>
      <w:r w:rsidRPr="00F1484D">
        <w:t>9.2.6</w:t>
      </w:r>
      <w:r w:rsidRPr="00F1484D">
        <w:tab/>
        <w:t>Random Access Procedure</w:t>
      </w:r>
      <w:bookmarkEnd w:id="57"/>
      <w:bookmarkEnd w:id="58"/>
      <w:bookmarkEnd w:id="59"/>
      <w:bookmarkEnd w:id="60"/>
      <w:bookmarkEnd w:id="61"/>
      <w:bookmarkEnd w:id="62"/>
    </w:p>
    <w:p w14:paraId="0E15BAB4" w14:textId="77777777" w:rsidR="002D5398" w:rsidRPr="00F1484D" w:rsidRDefault="002D5398" w:rsidP="002D5398">
      <w:r w:rsidRPr="00F1484D">
        <w:t>The random access procedure is triggered by a number of events:</w:t>
      </w:r>
    </w:p>
    <w:p w14:paraId="72A834D3" w14:textId="77777777" w:rsidR="002D5398" w:rsidRPr="00F1484D" w:rsidRDefault="002D5398" w:rsidP="002D5398">
      <w:pPr>
        <w:pStyle w:val="B1"/>
      </w:pPr>
      <w:r w:rsidRPr="00F1484D">
        <w:t>-</w:t>
      </w:r>
      <w:r w:rsidRPr="00F1484D">
        <w:tab/>
        <w:t>Initial access from RRC_IDLE;</w:t>
      </w:r>
    </w:p>
    <w:p w14:paraId="39FF6DA7" w14:textId="77777777" w:rsidR="002D5398" w:rsidRPr="00F1484D" w:rsidRDefault="002D5398" w:rsidP="002D5398">
      <w:pPr>
        <w:pStyle w:val="B1"/>
      </w:pPr>
      <w:r w:rsidRPr="00F1484D">
        <w:t>-</w:t>
      </w:r>
      <w:r w:rsidRPr="00F1484D">
        <w:tab/>
      </w:r>
      <w:r w:rsidRPr="00F1484D">
        <w:rPr>
          <w:lang w:eastAsia="zh-CN"/>
        </w:rPr>
        <w:t>RRC Connection Re-establishment procedure</w:t>
      </w:r>
      <w:r w:rsidRPr="00F1484D">
        <w:rPr>
          <w:rFonts w:eastAsia="SimSun"/>
          <w:lang w:eastAsia="zh-CN"/>
        </w:rPr>
        <w:t>;</w:t>
      </w:r>
    </w:p>
    <w:p w14:paraId="171E61D5" w14:textId="77777777" w:rsidR="002D5398" w:rsidRPr="00F1484D" w:rsidRDefault="002D5398" w:rsidP="002D5398">
      <w:pPr>
        <w:pStyle w:val="B1"/>
      </w:pPr>
      <w:r w:rsidRPr="00F1484D">
        <w:t>-</w:t>
      </w:r>
      <w:r w:rsidRPr="00F1484D">
        <w:tab/>
        <w:t>DL or UL data arrival during RRC_CONNECTED when UL synchronisation status is "non-synchronised";</w:t>
      </w:r>
    </w:p>
    <w:p w14:paraId="039BEAC5" w14:textId="77777777" w:rsidR="002D5398" w:rsidRPr="00F1484D" w:rsidRDefault="002D5398" w:rsidP="002D5398">
      <w:pPr>
        <w:pStyle w:val="B1"/>
      </w:pPr>
      <w:r w:rsidRPr="00F1484D">
        <w:t>-</w:t>
      </w:r>
      <w:r w:rsidRPr="00F1484D">
        <w:tab/>
        <w:t>UL data arrival during RRC_CONNECTED when there are no PUCCH resources for SR available;</w:t>
      </w:r>
    </w:p>
    <w:p w14:paraId="0F8A387F" w14:textId="77777777" w:rsidR="002D5398" w:rsidRPr="00F1484D" w:rsidRDefault="002D5398" w:rsidP="002D5398">
      <w:pPr>
        <w:pStyle w:val="B1"/>
      </w:pPr>
      <w:r w:rsidRPr="00F1484D">
        <w:t>-</w:t>
      </w:r>
      <w:r w:rsidRPr="00F1484D">
        <w:tab/>
        <w:t>SR failure;</w:t>
      </w:r>
    </w:p>
    <w:p w14:paraId="44A62B11" w14:textId="77777777" w:rsidR="002D5398" w:rsidRPr="00F1484D" w:rsidRDefault="002D5398" w:rsidP="002D5398">
      <w:pPr>
        <w:pStyle w:val="B1"/>
      </w:pPr>
      <w:r w:rsidRPr="00F1484D">
        <w:t>-</w:t>
      </w:r>
      <w:r w:rsidRPr="00F1484D">
        <w:tab/>
        <w:t>Request by RRC upon synchronous reconfiguration (e.g. handover);</w:t>
      </w:r>
    </w:p>
    <w:p w14:paraId="35CEF73B" w14:textId="77777777" w:rsidR="002D5398" w:rsidRPr="00F1484D" w:rsidRDefault="002D5398" w:rsidP="002D5398">
      <w:pPr>
        <w:pStyle w:val="B1"/>
      </w:pPr>
      <w:r w:rsidRPr="00F1484D">
        <w:t>-</w:t>
      </w:r>
      <w:r w:rsidRPr="00F1484D">
        <w:tab/>
        <w:t>Transition from RRC_INACTIVE;</w:t>
      </w:r>
    </w:p>
    <w:p w14:paraId="5FEF53EB" w14:textId="77777777" w:rsidR="002D5398" w:rsidRPr="00F1484D" w:rsidRDefault="002D5398" w:rsidP="002D5398">
      <w:pPr>
        <w:pStyle w:val="B1"/>
      </w:pPr>
      <w:r w:rsidRPr="00F1484D">
        <w:t>-</w:t>
      </w:r>
      <w:r w:rsidRPr="00F1484D">
        <w:tab/>
        <w:t>To establish time alignment for a secondary TAG;</w:t>
      </w:r>
    </w:p>
    <w:p w14:paraId="7B735521" w14:textId="77777777" w:rsidR="002D5398" w:rsidRPr="00F1484D" w:rsidRDefault="002D5398" w:rsidP="002D5398">
      <w:pPr>
        <w:pStyle w:val="B1"/>
      </w:pPr>
      <w:r w:rsidRPr="00F1484D">
        <w:t>-</w:t>
      </w:r>
      <w:r w:rsidRPr="00F1484D">
        <w:tab/>
        <w:t>Request for Other SI (see clause 7.3);</w:t>
      </w:r>
    </w:p>
    <w:p w14:paraId="1295CF5F" w14:textId="77777777" w:rsidR="002D5398" w:rsidRPr="00F1484D" w:rsidRDefault="002D5398" w:rsidP="002D5398">
      <w:pPr>
        <w:pStyle w:val="B1"/>
      </w:pPr>
      <w:r w:rsidRPr="00F1484D">
        <w:t>-</w:t>
      </w:r>
      <w:r w:rsidRPr="00F1484D">
        <w:tab/>
        <w:t>Beam failure recovery;</w:t>
      </w:r>
    </w:p>
    <w:p w14:paraId="18413712" w14:textId="3E62E96E" w:rsidR="002D5398" w:rsidRPr="00F1484D" w:rsidRDefault="002D5398" w:rsidP="002D5398">
      <w:pPr>
        <w:pStyle w:val="B1"/>
      </w:pPr>
      <w:r w:rsidRPr="00F1484D">
        <w:t>-</w:t>
      </w:r>
      <w:r w:rsidRPr="00F1484D">
        <w:tab/>
        <w:t xml:space="preserve">Consistent UL LBT failure on </w:t>
      </w:r>
      <w:del w:id="67" w:author="Benoist" w:date="2020-10-20T14:11:00Z">
        <w:r w:rsidRPr="00F1484D" w:rsidDel="00E477D6">
          <w:delText>SpCell</w:delText>
        </w:r>
      </w:del>
      <w:ins w:id="68" w:author="Benoist" w:date="2020-10-20T14:11:00Z">
        <w:r w:rsidR="00E477D6">
          <w:t>PCell</w:t>
        </w:r>
      </w:ins>
      <w:r w:rsidRPr="00F1484D">
        <w:t>.</w:t>
      </w:r>
    </w:p>
    <w:p w14:paraId="18EA72ED" w14:textId="77777777" w:rsidR="002D5398" w:rsidRPr="00F1484D" w:rsidRDefault="002D5398" w:rsidP="002D5398">
      <w:r w:rsidRPr="00F1484D">
        <w:t>Two types of random access procedure are supported: 4-step RA type with MSG1 and 2-step RA type with MSGA. Both types of RA procedure support contention-based random access (CBRA) and contention-free random access (CFRA) as shown on Figure 9.2.6-1 below.</w:t>
      </w:r>
    </w:p>
    <w:p w14:paraId="7547A937" w14:textId="77777777" w:rsidR="002D5398" w:rsidRPr="00F1484D" w:rsidRDefault="002D5398" w:rsidP="002D5398">
      <w:r w:rsidRPr="00F1484D">
        <w:t>The UE selects the type of random access at initiation of the random access procedure based on network configuration:</w:t>
      </w:r>
    </w:p>
    <w:p w14:paraId="593388E2" w14:textId="77777777" w:rsidR="002D5398" w:rsidRPr="00F1484D" w:rsidRDefault="002D5398" w:rsidP="002D5398">
      <w:pPr>
        <w:pStyle w:val="B1"/>
      </w:pPr>
      <w:r w:rsidRPr="00F1484D">
        <w:t>-</w:t>
      </w:r>
      <w:r w:rsidRPr="00F1484D">
        <w:tab/>
        <w:t>when CFRA resources are not configured, an RSRP threshold is used by the UE to select between 2-step RA type and 4-step RA type;</w:t>
      </w:r>
    </w:p>
    <w:p w14:paraId="29172124" w14:textId="77777777" w:rsidR="002D5398" w:rsidRPr="00F1484D" w:rsidRDefault="002D5398" w:rsidP="002D5398">
      <w:pPr>
        <w:pStyle w:val="B1"/>
      </w:pPr>
      <w:r w:rsidRPr="00F1484D">
        <w:t>-</w:t>
      </w:r>
      <w:r w:rsidRPr="00F1484D">
        <w:tab/>
        <w:t>when CFRA resources for 4-step RA type are configured, UE performs random access with 4-step RA type;</w:t>
      </w:r>
    </w:p>
    <w:p w14:paraId="775F3026" w14:textId="77777777" w:rsidR="002D5398" w:rsidRPr="00F1484D" w:rsidRDefault="002D5398" w:rsidP="002D5398">
      <w:pPr>
        <w:pStyle w:val="B1"/>
      </w:pPr>
      <w:r w:rsidRPr="00F1484D">
        <w:t>-</w:t>
      </w:r>
      <w:r w:rsidRPr="00F1484D">
        <w:tab/>
        <w:t>when CFRA resources for 2-step RA type are configured, UE performs random access with 2-step RA type.</w:t>
      </w:r>
    </w:p>
    <w:p w14:paraId="19C72C5A" w14:textId="77777777" w:rsidR="002D5398" w:rsidRPr="00F1484D" w:rsidRDefault="002D5398" w:rsidP="002D5398">
      <w:r w:rsidRPr="00F1484D">
        <w:t>The network does not configure CFRA resources for 4-step and 2-step RA types at the same time for a Bandwidth Part (BWP). CFRA with 2-step RA type is only supported for handover.</w:t>
      </w:r>
    </w:p>
    <w:p w14:paraId="08FD26A1" w14:textId="77777777" w:rsidR="002D5398" w:rsidRPr="00F1484D" w:rsidRDefault="002D5398" w:rsidP="002D5398">
      <w:r w:rsidRPr="00F1484D">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72BFAF39" w14:textId="77777777" w:rsidR="002D5398" w:rsidRPr="00F1484D" w:rsidRDefault="002D5398" w:rsidP="002D5398">
      <w:r w:rsidRPr="00F1484D">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3EB21B83" w14:textId="77777777" w:rsidR="002D5398" w:rsidRPr="00F1484D" w:rsidRDefault="002D5398" w:rsidP="002D5398">
      <w:r w:rsidRPr="00F1484D">
        <w:t>If the random access procedure with 2-step RA type is not completed after a number of MSGA transmissions, the UE can be configured to switch to CBRA with 4-step RA type.</w:t>
      </w:r>
    </w:p>
    <w:p w14:paraId="51D64987" w14:textId="77777777" w:rsidR="002D5398" w:rsidRPr="00F1484D" w:rsidRDefault="00C5781A" w:rsidP="002D5398">
      <w:pPr>
        <w:pStyle w:val="TH"/>
      </w:pPr>
      <w:r w:rsidRPr="00F1484D">
        <w:rPr>
          <w:noProof/>
        </w:rPr>
      </w:r>
      <w:r w:rsidR="00C5781A" w:rsidRPr="00F1484D">
        <w:rPr>
          <w:noProof/>
        </w:rPr>
        <w:object w:dxaOrig="4052" w:dyaOrig="4185" w14:anchorId="531626E2">
          <v:shape id="_x0000_i1027" type="#_x0000_t75" alt="" style="width:152pt;height:156.65pt;mso-width-percent:0;mso-height-percent:0;mso-width-percent:0;mso-height-percent:0" o:ole="">
            <v:imagedata r:id="rId21" o:title=""/>
          </v:shape>
          <o:OLEObject Type="Embed" ProgID="Visio.Drawing.11" ShapeID="_x0000_i1027" DrawAspect="Content" ObjectID="_1664948354" r:id="rId22"/>
        </w:object>
      </w:r>
      <w:r w:rsidR="002D5398" w:rsidRPr="00F1484D">
        <w:rPr>
          <w:noProof/>
        </w:rPr>
        <w:tab/>
      </w:r>
      <w:r w:rsidR="002D5398" w:rsidRPr="00F1484D">
        <w:tab/>
      </w:r>
      <w:r w:rsidR="002D5398" w:rsidRPr="00F1484D">
        <w:tab/>
      </w:r>
      <w:r w:rsidR="002D5398" w:rsidRPr="00F1484D">
        <w:tab/>
      </w:r>
      <w:r w:rsidR="002D5398" w:rsidRPr="00F1484D">
        <w:tab/>
      </w:r>
      <w:r w:rsidR="002D5398" w:rsidRPr="00F1484D">
        <w:tab/>
      </w:r>
      <w:r w:rsidRPr="00F1484D">
        <w:rPr>
          <w:noProof/>
        </w:rPr>
      </w:r>
      <w:r w:rsidR="00C5781A" w:rsidRPr="00F1484D">
        <w:rPr>
          <w:noProof/>
        </w:rPr>
        <w:object w:dxaOrig="6189" w:dyaOrig="4321" w14:anchorId="5B0A3D1E">
          <v:shape id="_x0000_i1028" type="#_x0000_t75" alt="" style="width:150.65pt;height:105.35pt;mso-width-percent:0;mso-height-percent:0;mso-width-percent:0;mso-height-percent:0" o:ole="">
            <v:imagedata r:id="rId23" o:title=""/>
          </v:shape>
          <o:OLEObject Type="Embed" ProgID="Visio.Drawing.11" ShapeID="_x0000_i1028" DrawAspect="Content" ObjectID="_1664948355" r:id="rId24"/>
        </w:object>
      </w:r>
    </w:p>
    <w:p w14:paraId="24CFB130" w14:textId="77777777" w:rsidR="002D5398" w:rsidRPr="00F1484D" w:rsidRDefault="002D5398" w:rsidP="002D5398">
      <w:pPr>
        <w:pStyle w:val="TF"/>
      </w:pPr>
      <w:r w:rsidRPr="00F1484D">
        <w:t>(a)</w:t>
      </w:r>
      <w:r w:rsidRPr="00F1484D">
        <w:tab/>
        <w:t>CBRA with 4-step RA type</w:t>
      </w:r>
      <w:r w:rsidRPr="00F1484D">
        <w:tab/>
      </w:r>
      <w:r w:rsidRPr="00F1484D">
        <w:tab/>
      </w:r>
      <w:r w:rsidRPr="00F1484D">
        <w:tab/>
      </w:r>
      <w:r w:rsidRPr="00F1484D">
        <w:tab/>
      </w:r>
      <w:r w:rsidRPr="00F1484D">
        <w:tab/>
      </w:r>
      <w:r w:rsidRPr="00F1484D">
        <w:tab/>
        <w:t>(b) CBRA with 2-step RA type</w:t>
      </w:r>
    </w:p>
    <w:p w14:paraId="4ECD3C8D" w14:textId="77777777" w:rsidR="002D5398" w:rsidRPr="00F1484D" w:rsidRDefault="00C5781A" w:rsidP="002D5398">
      <w:pPr>
        <w:pStyle w:val="TH"/>
      </w:pPr>
      <w:r w:rsidRPr="00F1484D">
        <w:rPr>
          <w:noProof/>
        </w:rPr>
      </w:r>
      <w:r w:rsidR="00C5781A" w:rsidRPr="00F1484D">
        <w:rPr>
          <w:noProof/>
        </w:rPr>
        <w:object w:dxaOrig="4031" w:dyaOrig="3331" w14:anchorId="12F4A62D">
          <v:shape id="_x0000_i1029" type="#_x0000_t75" alt="" style="width:149.35pt;height:124pt;mso-width-percent:0;mso-height-percent:0;mso-width-percent:0;mso-height-percent:0" o:ole="">
            <v:imagedata r:id="rId25" o:title=""/>
          </v:shape>
          <o:OLEObject Type="Embed" ProgID="Visio.Drawing.11" ShapeID="_x0000_i1029" DrawAspect="Content" ObjectID="_1664948356" r:id="rId26"/>
        </w:object>
      </w:r>
      <w:r w:rsidR="002D5398" w:rsidRPr="00F1484D">
        <w:rPr>
          <w:noProof/>
        </w:rPr>
        <w:tab/>
      </w:r>
      <w:r w:rsidR="002D5398" w:rsidRPr="00F1484D">
        <w:rPr>
          <w:noProof/>
        </w:rPr>
        <w:tab/>
      </w:r>
      <w:r w:rsidR="002D5398" w:rsidRPr="00F1484D">
        <w:rPr>
          <w:noProof/>
        </w:rPr>
        <w:tab/>
      </w:r>
      <w:r w:rsidR="002D5398" w:rsidRPr="00F1484D">
        <w:rPr>
          <w:noProof/>
        </w:rPr>
        <w:tab/>
      </w:r>
      <w:r w:rsidR="002D5398" w:rsidRPr="00F1484D">
        <w:rPr>
          <w:noProof/>
        </w:rPr>
        <w:tab/>
      </w:r>
      <w:r w:rsidR="002D5398" w:rsidRPr="00F1484D">
        <w:rPr>
          <w:noProof/>
        </w:rPr>
        <w:tab/>
      </w:r>
      <w:r w:rsidRPr="00F1484D">
        <w:rPr>
          <w:noProof/>
        </w:rPr>
      </w:r>
      <w:r w:rsidR="00C5781A" w:rsidRPr="00F1484D">
        <w:rPr>
          <w:noProof/>
        </w:rPr>
        <w:object w:dxaOrig="4021" w:dyaOrig="3321" w14:anchorId="311F36E0">
          <v:shape id="_x0000_i1030" type="#_x0000_t75" alt="" style="width:150pt;height:123.35pt;mso-width-percent:0;mso-height-percent:0;mso-width-percent:0;mso-height-percent:0" o:ole="">
            <v:imagedata r:id="rId27" o:title=""/>
          </v:shape>
          <o:OLEObject Type="Embed" ProgID="Visio.Drawing.15" ShapeID="_x0000_i1030" DrawAspect="Content" ObjectID="_1664948357" r:id="rId28"/>
        </w:object>
      </w:r>
    </w:p>
    <w:p w14:paraId="3298DD51" w14:textId="77777777" w:rsidR="002D5398" w:rsidRPr="00F1484D" w:rsidRDefault="002D5398" w:rsidP="002D5398">
      <w:pPr>
        <w:pStyle w:val="TF"/>
      </w:pPr>
      <w:r w:rsidRPr="00F1484D">
        <w:t>(c) CFRA with 4-step RA type</w:t>
      </w:r>
      <w:r w:rsidRPr="00F1484D">
        <w:tab/>
      </w:r>
      <w:r w:rsidRPr="00F1484D">
        <w:tab/>
      </w:r>
      <w:r w:rsidRPr="00F1484D">
        <w:tab/>
      </w:r>
      <w:r w:rsidRPr="00F1484D">
        <w:tab/>
      </w:r>
      <w:r w:rsidRPr="00F1484D">
        <w:tab/>
      </w:r>
      <w:r w:rsidRPr="00F1484D">
        <w:tab/>
        <w:t>(d) CFRA with 2-step RA type</w:t>
      </w:r>
    </w:p>
    <w:p w14:paraId="2D6F3C13" w14:textId="77777777" w:rsidR="002D5398" w:rsidRPr="00F1484D" w:rsidRDefault="002D5398" w:rsidP="002D5398">
      <w:pPr>
        <w:pStyle w:val="TF"/>
      </w:pPr>
      <w:r w:rsidRPr="00F1484D" w:rsidDel="0027763F">
        <w:rPr>
          <w:b w:val="0"/>
          <w:noProof/>
        </w:rPr>
        <w:t xml:space="preserve"> </w:t>
      </w:r>
      <w:r w:rsidRPr="00F1484D">
        <w:t>Figure 9.2.6-1: Random Access Procedures</w:t>
      </w:r>
    </w:p>
    <w:p w14:paraId="1F6081F7" w14:textId="77777777" w:rsidR="002D5398" w:rsidRPr="00F1484D" w:rsidRDefault="00C5781A" w:rsidP="002D5398">
      <w:pPr>
        <w:pStyle w:val="TH"/>
      </w:pPr>
      <w:r w:rsidRPr="00F1484D">
        <w:rPr>
          <w:noProof/>
        </w:rPr>
      </w:r>
      <w:r w:rsidR="00C5781A" w:rsidRPr="00F1484D">
        <w:rPr>
          <w:noProof/>
        </w:rPr>
        <w:object w:dxaOrig="4062" w:dyaOrig="3354" w14:anchorId="417EBF55">
          <v:shape id="_x0000_i1031" type="#_x0000_t75" alt="" style="width:204.65pt;height:168.65pt;mso-width-percent:0;mso-height-percent:0;mso-width-percent:0;mso-height-percent:0" o:ole="">
            <v:imagedata r:id="rId29" o:title=""/>
          </v:shape>
          <o:OLEObject Type="Embed" ProgID="Visio.Drawing.11" ShapeID="_x0000_i1031" DrawAspect="Content" ObjectID="_1664948358" r:id="rId30"/>
        </w:object>
      </w:r>
    </w:p>
    <w:p w14:paraId="5466AB22" w14:textId="77777777" w:rsidR="002D5398" w:rsidRPr="00F1484D" w:rsidRDefault="002D5398" w:rsidP="002D5398">
      <w:pPr>
        <w:pStyle w:val="TF"/>
      </w:pPr>
      <w:r w:rsidRPr="00F1484D">
        <w:t>Figure 9.2.6-2: Fallback for CBRA with 2-step RA type</w:t>
      </w:r>
    </w:p>
    <w:p w14:paraId="01C01F5B" w14:textId="77777777" w:rsidR="002D5398" w:rsidRPr="00F1484D" w:rsidRDefault="002D5398" w:rsidP="002D5398">
      <w:r w:rsidRPr="00F1484D">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427F9E08" w14:textId="77777777" w:rsidR="002D5398" w:rsidRPr="00F1484D" w:rsidRDefault="002D5398" w:rsidP="002D5398">
      <w:pPr>
        <w:rPr>
          <w:rFonts w:eastAsia="MS Mincho"/>
        </w:rPr>
      </w:pPr>
      <w:r w:rsidRPr="00F1484D">
        <w:t xml:space="preserve">When CA is configured, random access procedure with 2-step RA type is only performed on </w:t>
      </w:r>
      <w:r w:rsidRPr="00F1484D">
        <w:rPr>
          <w:rFonts w:eastAsia="Malgun Gothic"/>
          <w:lang w:eastAsia="ko-KR"/>
        </w:rPr>
        <w:t>PCell</w:t>
      </w:r>
      <w:r w:rsidRPr="00F1484D">
        <w:t xml:space="preserve"> while contention resolution can be cross-scheduled by the PCell</w:t>
      </w:r>
      <w:r w:rsidRPr="00F1484D">
        <w:rPr>
          <w:rFonts w:eastAsia="MS Mincho"/>
        </w:rPr>
        <w:t>.</w:t>
      </w:r>
    </w:p>
    <w:p w14:paraId="34DE66AF" w14:textId="77777777" w:rsidR="002D5398" w:rsidRPr="00F1484D" w:rsidRDefault="002D5398" w:rsidP="002D5398">
      <w:r w:rsidRPr="00F1484D">
        <w:rPr>
          <w:rFonts w:eastAsia="MS Mincho"/>
        </w:rPr>
        <w:t xml:space="preserve">When CA is configured, </w:t>
      </w:r>
      <w:r w:rsidRPr="00F1484D">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181C3470" w14:textId="77777777" w:rsidR="00926503" w:rsidRPr="00833155" w:rsidRDefault="00926503" w:rsidP="0092650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9" w:name="_Toc20388016"/>
      <w:bookmarkStart w:id="70" w:name="_Toc29376096"/>
      <w:bookmarkStart w:id="71" w:name="_Toc37231993"/>
      <w:bookmarkStart w:id="72" w:name="_Toc46502050"/>
      <w:bookmarkStart w:id="73" w:name="_Toc51971398"/>
      <w:bookmarkStart w:id="74" w:name="_Toc52551381"/>
      <w:r>
        <w:rPr>
          <w:i/>
        </w:rPr>
        <w:t>Next Modified Subclause</w:t>
      </w:r>
    </w:p>
    <w:p w14:paraId="3C07172B" w14:textId="77777777" w:rsidR="00926503" w:rsidRPr="00F1484D" w:rsidRDefault="00926503" w:rsidP="00926503">
      <w:pPr>
        <w:pStyle w:val="Heading2"/>
      </w:pPr>
      <w:r w:rsidRPr="00F1484D">
        <w:t>10.6</w:t>
      </w:r>
      <w:r w:rsidRPr="00F1484D">
        <w:tab/>
        <w:t>Activation/Deactivation Mechanism</w:t>
      </w:r>
      <w:bookmarkEnd w:id="69"/>
      <w:bookmarkEnd w:id="70"/>
      <w:bookmarkEnd w:id="71"/>
      <w:bookmarkEnd w:id="72"/>
      <w:bookmarkEnd w:id="73"/>
      <w:bookmarkEnd w:id="74"/>
    </w:p>
    <w:p w14:paraId="7710AA81" w14:textId="77777777" w:rsidR="00926503" w:rsidRPr="00F1484D" w:rsidRDefault="00926503" w:rsidP="00926503">
      <w:r w:rsidRPr="00F1484D">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556A078E" w14:textId="77777777" w:rsidR="00926503" w:rsidRPr="00F1484D" w:rsidRDefault="00926503" w:rsidP="00926503">
      <w:r w:rsidRPr="00F1484D">
        <w:t>When reconfiguring the set of serving cells:</w:t>
      </w:r>
    </w:p>
    <w:p w14:paraId="5FB0B39E" w14:textId="77777777" w:rsidR="00926503" w:rsidRPr="00F1484D" w:rsidRDefault="00926503" w:rsidP="00926503">
      <w:pPr>
        <w:pStyle w:val="B1"/>
      </w:pPr>
      <w:r w:rsidRPr="00F1484D">
        <w:t>-</w:t>
      </w:r>
      <w:r w:rsidRPr="00F1484D">
        <w:tab/>
        <w:t>SCells added to the set are initially activated or deactivated;</w:t>
      </w:r>
    </w:p>
    <w:p w14:paraId="18E796DB" w14:textId="77777777" w:rsidR="00926503" w:rsidRPr="00F1484D" w:rsidRDefault="00926503" w:rsidP="00926503">
      <w:pPr>
        <w:pStyle w:val="B1"/>
      </w:pPr>
      <w:r w:rsidRPr="00F1484D">
        <w:t>-</w:t>
      </w:r>
      <w:r w:rsidRPr="00F1484D">
        <w:tab/>
        <w:t>SCells which remain in the set (either unchanged or reconfigured) do not change their activation status (</w:t>
      </w:r>
      <w:r w:rsidRPr="00F1484D">
        <w:rPr>
          <w:i/>
        </w:rPr>
        <w:t>activated</w:t>
      </w:r>
      <w:r w:rsidRPr="00F1484D">
        <w:t xml:space="preserve"> or </w:t>
      </w:r>
      <w:r w:rsidRPr="00F1484D">
        <w:rPr>
          <w:i/>
        </w:rPr>
        <w:t>deactivated</w:t>
      </w:r>
      <w:r w:rsidRPr="00F1484D">
        <w:t>).</w:t>
      </w:r>
    </w:p>
    <w:p w14:paraId="07931CF7" w14:textId="77777777" w:rsidR="00926503" w:rsidRPr="00F1484D" w:rsidRDefault="00926503" w:rsidP="00926503">
      <w:r w:rsidRPr="00F1484D">
        <w:t>At handover or connection resume from RRC_INACTIVE:</w:t>
      </w:r>
    </w:p>
    <w:p w14:paraId="31CAD532" w14:textId="77777777" w:rsidR="00926503" w:rsidRPr="00F1484D" w:rsidRDefault="00926503" w:rsidP="00926503">
      <w:pPr>
        <w:pStyle w:val="B1"/>
        <w:rPr>
          <w:lang w:eastAsia="zh-CN"/>
        </w:rPr>
      </w:pPr>
      <w:r w:rsidRPr="00F1484D">
        <w:rPr>
          <w:lang w:eastAsia="zh-CN"/>
        </w:rPr>
        <w:t>-</w:t>
      </w:r>
      <w:r w:rsidRPr="00F1484D">
        <w:rPr>
          <w:lang w:eastAsia="zh-CN"/>
        </w:rPr>
        <w:tab/>
        <w:t>SCells are activated or deactivated.</w:t>
      </w:r>
    </w:p>
    <w:p w14:paraId="4D61B21C" w14:textId="77777777" w:rsidR="00926503" w:rsidRPr="00F1484D" w:rsidRDefault="00926503" w:rsidP="00926503">
      <w:r w:rsidRPr="00F1484D">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37FAB8EF" w14:textId="77777777" w:rsidR="00926503" w:rsidRPr="00F1484D" w:rsidRDefault="00926503" w:rsidP="00926503">
      <w:r w:rsidRPr="00F1484D">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28957DB8" w14:textId="33CCF5DD" w:rsidR="00926503" w:rsidRPr="00F1484D" w:rsidRDefault="00926503" w:rsidP="00926503">
      <w:r w:rsidRPr="00F1484D">
        <w:t xml:space="preserve">The dormant BWP is one of the UE's dedicated BWPs configured by network via dedicated RRC signalling. The </w:t>
      </w:r>
      <w:del w:id="75" w:author="Benoist" w:date="2020-10-20T14:16:00Z">
        <w:r w:rsidRPr="00F1484D" w:rsidDel="00156EC5">
          <w:delText xml:space="preserve">SpCell </w:delText>
        </w:r>
      </w:del>
      <w:ins w:id="76" w:author="Benoist" w:date="2020-10-20T14:16:00Z">
        <w:r w:rsidR="00156EC5">
          <w:t>P</w:t>
        </w:r>
        <w:r w:rsidR="00156EC5" w:rsidRPr="00F1484D">
          <w:t xml:space="preserve">Cell </w:t>
        </w:r>
      </w:ins>
      <w:r w:rsidRPr="00F1484D">
        <w:t>and PUCCH SCell cannot be configured with a dormant BWP.</w:t>
      </w:r>
    </w:p>
    <w:p w14:paraId="2026F423" w14:textId="77777777" w:rsidR="00343EB4" w:rsidRPr="00833155" w:rsidRDefault="00343EB4" w:rsidP="00343E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77" w:name="_Toc29376135"/>
      <w:bookmarkStart w:id="78" w:name="_Toc37232032"/>
      <w:bookmarkStart w:id="79" w:name="_Toc46502106"/>
      <w:bookmarkStart w:id="80" w:name="_Toc51971454"/>
      <w:bookmarkStart w:id="81" w:name="_Toc52551437"/>
      <w:r>
        <w:rPr>
          <w:i/>
        </w:rPr>
        <w:t>Next Modified Subclause</w:t>
      </w:r>
    </w:p>
    <w:p w14:paraId="64BFF74A" w14:textId="77777777" w:rsidR="00DA02D7" w:rsidRPr="00F1484D" w:rsidRDefault="00DA02D7" w:rsidP="00DA02D7">
      <w:pPr>
        <w:pStyle w:val="Heading3"/>
      </w:pPr>
      <w:r w:rsidRPr="00F1484D">
        <w:t>16.1.3</w:t>
      </w:r>
      <w:r w:rsidRPr="00F1484D">
        <w:tab/>
        <w:t>Packet Duplication</w:t>
      </w:r>
      <w:bookmarkEnd w:id="77"/>
      <w:bookmarkEnd w:id="78"/>
      <w:bookmarkEnd w:id="79"/>
      <w:bookmarkEnd w:id="80"/>
      <w:bookmarkEnd w:id="81"/>
    </w:p>
    <w:p w14:paraId="337ECC3E" w14:textId="77777777" w:rsidR="00DA02D7" w:rsidRPr="00F1484D" w:rsidRDefault="00DA02D7" w:rsidP="00DA02D7">
      <w:r w:rsidRPr="00F1484D">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F1484D">
        <w:rPr>
          <w:i/>
        </w:rPr>
        <w:t>the primary logical channel</w:t>
      </w:r>
      <w:r w:rsidRPr="00F1484D">
        <w:t xml:space="preserve">, and the logical channel corresponding to the secondary RLC entity(ies), the </w:t>
      </w:r>
      <w:r w:rsidRPr="00F1484D">
        <w:rPr>
          <w:i/>
        </w:rPr>
        <w:t>secondary logical channel(s)</w:t>
      </w:r>
      <w:r w:rsidRPr="00F1484D">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226E31C1" w14:textId="77777777" w:rsidR="00DA02D7" w:rsidRPr="00F1484D" w:rsidRDefault="00C5781A" w:rsidP="00DA02D7">
      <w:pPr>
        <w:pStyle w:val="TH"/>
      </w:pPr>
      <w:r w:rsidRPr="00F1484D">
        <w:rPr>
          <w:noProof/>
        </w:rPr>
      </w:r>
      <w:r w:rsidR="00C5781A" w:rsidRPr="00F1484D">
        <w:rPr>
          <w:noProof/>
        </w:rPr>
        <w:object w:dxaOrig="2611" w:dyaOrig="2881" w14:anchorId="2F549C0A">
          <v:shape id="_x0000_i1032" type="#_x0000_t75" alt="" style="width:130.65pt;height:2in;mso-width-percent:0;mso-height-percent:0;mso-width-percent:0;mso-height-percent:0" o:ole="">
            <v:imagedata r:id="rId31" o:title=""/>
          </v:shape>
          <o:OLEObject Type="Embed" ProgID="Visio.Drawing.15" ShapeID="_x0000_i1032" DrawAspect="Content" ObjectID="_1664948359" r:id="rId32"/>
        </w:object>
      </w:r>
    </w:p>
    <w:p w14:paraId="78777AAC" w14:textId="77777777" w:rsidR="00DA02D7" w:rsidRPr="00F1484D" w:rsidRDefault="00DA02D7" w:rsidP="00DA02D7">
      <w:pPr>
        <w:pStyle w:val="TF"/>
      </w:pPr>
      <w:r w:rsidRPr="00F1484D">
        <w:t>Figure 16.1.3-1: Packet Duplication</w:t>
      </w:r>
    </w:p>
    <w:p w14:paraId="1AAA1637" w14:textId="77777777" w:rsidR="00DA02D7" w:rsidRPr="00F1484D" w:rsidRDefault="00DA02D7" w:rsidP="00DA02D7">
      <w:pPr>
        <w:pStyle w:val="NO"/>
      </w:pPr>
      <w:r w:rsidRPr="00F1484D">
        <w:t>NOTE:</w:t>
      </w:r>
      <w:r w:rsidRPr="00F1484D">
        <w:tab/>
        <w:t>PDCP control PDUs are not duplicated and always submitted to the primary RLC entity.</w:t>
      </w:r>
    </w:p>
    <w:p w14:paraId="0A230E08" w14:textId="77777777" w:rsidR="00DA02D7" w:rsidRPr="00F1484D" w:rsidRDefault="00DA02D7" w:rsidP="00DA02D7">
      <w:r w:rsidRPr="00F1484D">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7DDDF868" w14:textId="77777777" w:rsidR="00DA02D7" w:rsidRPr="00F1484D" w:rsidRDefault="00DA02D7" w:rsidP="00DA02D7">
      <w:r w:rsidRPr="00F1484D">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478FB421" w14:textId="25D1747A" w:rsidR="00DA02D7" w:rsidRPr="00F1484D" w:rsidRDefault="00DA02D7" w:rsidP="00DA02D7">
      <w:r w:rsidRPr="00F1484D">
        <w:t xml:space="preserve">When duplication is activated, the original PDCP PDU and the corresponding duplicate(s) shall not be transmitted on the same carrier. The logical channels of a DRB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legs is configured in the UE. In CA duplication, logical channel mapping restrictions are used in a MAC entity to ensure that the different logical channels of a DRB in the MAC entity are not sent on the same carrier. </w:t>
      </w:r>
      <w:r w:rsidRPr="00F1484D">
        <w:rPr>
          <w:rFonts w:eastAsia="Malgun Gothic"/>
          <w:lang w:eastAsia="ko-KR"/>
        </w:rPr>
        <w:t xml:space="preserve">When CA duplication is configured for an SRB, </w:t>
      </w:r>
      <w:r w:rsidRPr="00F1484D">
        <w:rPr>
          <w:rFonts w:eastAsia="MS Mincho"/>
        </w:rPr>
        <w:t>one</w:t>
      </w:r>
      <w:r w:rsidRPr="00F1484D">
        <w:rPr>
          <w:rFonts w:eastAsia="Malgun Gothic"/>
          <w:lang w:eastAsia="ko-KR"/>
        </w:rPr>
        <w:t xml:space="preserve"> </w:t>
      </w:r>
      <w:r w:rsidRPr="00F1484D">
        <w:rPr>
          <w:rFonts w:eastAsia="MS Mincho"/>
        </w:rPr>
        <w:t>of the</w:t>
      </w:r>
      <w:r w:rsidRPr="00F1484D">
        <w:rPr>
          <w:rFonts w:eastAsia="Malgun Gothic"/>
          <w:lang w:eastAsia="ko-KR"/>
        </w:rPr>
        <w:t xml:space="preserve"> logical channel</w:t>
      </w:r>
      <w:r w:rsidRPr="00F1484D">
        <w:rPr>
          <w:rFonts w:eastAsia="MS Mincho"/>
        </w:rPr>
        <w:t>s</w:t>
      </w:r>
      <w:r w:rsidRPr="00F1484D">
        <w:rPr>
          <w:rFonts w:eastAsia="Malgun Gothic"/>
          <w:lang w:eastAsia="ko-KR"/>
        </w:rPr>
        <w:t xml:space="preserve"> </w:t>
      </w:r>
      <w:r w:rsidRPr="00F1484D">
        <w:rPr>
          <w:rFonts w:eastAsia="MS Mincho"/>
        </w:rPr>
        <w:t>associated to</w:t>
      </w:r>
      <w:r w:rsidRPr="00F1484D">
        <w:rPr>
          <w:rFonts w:eastAsia="Malgun Gothic"/>
          <w:lang w:eastAsia="ko-KR"/>
        </w:rPr>
        <w:t xml:space="preserve"> </w:t>
      </w:r>
      <w:r w:rsidRPr="00F1484D">
        <w:rPr>
          <w:rFonts w:eastAsia="MS Mincho"/>
        </w:rPr>
        <w:t xml:space="preserve">the </w:t>
      </w:r>
      <w:r w:rsidRPr="00F1484D">
        <w:rPr>
          <w:rFonts w:eastAsia="Malgun Gothic"/>
          <w:lang w:eastAsia="ko-KR"/>
        </w:rPr>
        <w:t xml:space="preserve">SRB is mapped to </w:t>
      </w:r>
      <w:del w:id="82" w:author="Benoist" w:date="2020-10-20T14:16:00Z">
        <w:r w:rsidRPr="00F1484D" w:rsidDel="00156EC5">
          <w:rPr>
            <w:rFonts w:eastAsia="Malgun Gothic"/>
            <w:lang w:eastAsia="ko-KR"/>
          </w:rPr>
          <w:delText>Sp</w:delText>
        </w:r>
      </w:del>
      <w:ins w:id="83" w:author="Benoist" w:date="2020-10-20T14:16:00Z">
        <w:r w:rsidR="00156EC5">
          <w:rPr>
            <w:rFonts w:eastAsia="Malgun Gothic"/>
            <w:lang w:eastAsia="ko-KR"/>
          </w:rPr>
          <w:t>P</w:t>
        </w:r>
      </w:ins>
      <w:r w:rsidRPr="00F1484D">
        <w:rPr>
          <w:rFonts w:eastAsia="Malgun Gothic"/>
          <w:lang w:eastAsia="ko-KR"/>
        </w:rPr>
        <w:t>Cel</w:t>
      </w:r>
      <w:r w:rsidRPr="00F1484D">
        <w:rPr>
          <w:rFonts w:eastAsia="MS Mincho"/>
        </w:rPr>
        <w:t>l</w:t>
      </w:r>
      <w:r w:rsidRPr="00F1484D">
        <w:t>.</w:t>
      </w:r>
    </w:p>
    <w:p w14:paraId="6EFE23B0" w14:textId="77777777" w:rsidR="00DA02D7" w:rsidRPr="00F1484D" w:rsidRDefault="00DA02D7" w:rsidP="00DA02D7">
      <w:r w:rsidRPr="00F1484D">
        <w:t>When CA duplication is deactivated for a DRB in a MAC entity (i.e. none or only one of RLC entities of the DRB in the MAC entity remains activated), the logical channel mapping restrictions of the logical channels of the DRB are lifted for as long as CA duplication remains deactivated for the DRB in the MAC entity.</w:t>
      </w:r>
    </w:p>
    <w:p w14:paraId="26ABFEA4" w14:textId="77777777" w:rsidR="00DA02D7" w:rsidRPr="00F1484D" w:rsidRDefault="00DA02D7" w:rsidP="00DA02D7">
      <w:r w:rsidRPr="00F1484D">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17ACE55E" w14:textId="530CC617" w:rsidR="003E291B" w:rsidRPr="00833155" w:rsidRDefault="003E291B" w:rsidP="003E291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F6C95E2"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DFF8A" w14:textId="77777777" w:rsidR="00580ACC" w:rsidRDefault="00580ACC">
      <w:r>
        <w:separator/>
      </w:r>
    </w:p>
  </w:endnote>
  <w:endnote w:type="continuationSeparator" w:id="0">
    <w:p w14:paraId="0B80B6F5" w14:textId="77777777" w:rsidR="00580ACC" w:rsidRDefault="00580ACC">
      <w:r>
        <w:continuationSeparator/>
      </w:r>
    </w:p>
  </w:endnote>
  <w:endnote w:type="continuationNotice" w:id="1">
    <w:p w14:paraId="2B697AC7" w14:textId="77777777" w:rsidR="00580ACC" w:rsidRDefault="00580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880FE" w14:textId="77777777" w:rsidR="00580ACC" w:rsidRDefault="00580ACC">
      <w:r>
        <w:separator/>
      </w:r>
    </w:p>
  </w:footnote>
  <w:footnote w:type="continuationSeparator" w:id="0">
    <w:p w14:paraId="0CDA872C" w14:textId="77777777" w:rsidR="00580ACC" w:rsidRDefault="00580ACC">
      <w:r>
        <w:continuationSeparator/>
      </w:r>
    </w:p>
  </w:footnote>
  <w:footnote w:type="continuationNotice" w:id="1">
    <w:p w14:paraId="73D2666D" w14:textId="77777777" w:rsidR="00580ACC" w:rsidRDefault="00580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D1"/>
    <w:rsid w:val="00014977"/>
    <w:rsid w:val="00021881"/>
    <w:rsid w:val="00022E4A"/>
    <w:rsid w:val="00035BDE"/>
    <w:rsid w:val="00037BFF"/>
    <w:rsid w:val="00042A5F"/>
    <w:rsid w:val="000458CE"/>
    <w:rsid w:val="00051697"/>
    <w:rsid w:val="00051F43"/>
    <w:rsid w:val="000573C6"/>
    <w:rsid w:val="00062F5B"/>
    <w:rsid w:val="00064B05"/>
    <w:rsid w:val="00066A48"/>
    <w:rsid w:val="00066E02"/>
    <w:rsid w:val="000840E2"/>
    <w:rsid w:val="000A3CE4"/>
    <w:rsid w:val="000A6394"/>
    <w:rsid w:val="000B7FED"/>
    <w:rsid w:val="000C038A"/>
    <w:rsid w:val="000C6598"/>
    <w:rsid w:val="000C7067"/>
    <w:rsid w:val="000E5AC2"/>
    <w:rsid w:val="000F3364"/>
    <w:rsid w:val="000F4A5F"/>
    <w:rsid w:val="001133F2"/>
    <w:rsid w:val="00127F12"/>
    <w:rsid w:val="00145D43"/>
    <w:rsid w:val="00156EC5"/>
    <w:rsid w:val="00160C92"/>
    <w:rsid w:val="00166207"/>
    <w:rsid w:val="00187A10"/>
    <w:rsid w:val="00192C46"/>
    <w:rsid w:val="001A08B3"/>
    <w:rsid w:val="001A7B60"/>
    <w:rsid w:val="001B52F0"/>
    <w:rsid w:val="001B7A65"/>
    <w:rsid w:val="001C568A"/>
    <w:rsid w:val="001D48BD"/>
    <w:rsid w:val="001E41F3"/>
    <w:rsid w:val="001F34F9"/>
    <w:rsid w:val="00200A95"/>
    <w:rsid w:val="002019A6"/>
    <w:rsid w:val="002026FB"/>
    <w:rsid w:val="0020525F"/>
    <w:rsid w:val="00213099"/>
    <w:rsid w:val="00234C2C"/>
    <w:rsid w:val="00245588"/>
    <w:rsid w:val="00246512"/>
    <w:rsid w:val="00252630"/>
    <w:rsid w:val="0026004D"/>
    <w:rsid w:val="002640DD"/>
    <w:rsid w:val="00275D12"/>
    <w:rsid w:val="00275E5B"/>
    <w:rsid w:val="002807BD"/>
    <w:rsid w:val="00284FEB"/>
    <w:rsid w:val="00285840"/>
    <w:rsid w:val="002860C4"/>
    <w:rsid w:val="00294EF6"/>
    <w:rsid w:val="002B5741"/>
    <w:rsid w:val="002D5398"/>
    <w:rsid w:val="002E147D"/>
    <w:rsid w:val="002E2B41"/>
    <w:rsid w:val="002E5A3A"/>
    <w:rsid w:val="002F0217"/>
    <w:rsid w:val="00305409"/>
    <w:rsid w:val="00310DA4"/>
    <w:rsid w:val="00324A06"/>
    <w:rsid w:val="003270CD"/>
    <w:rsid w:val="00336C16"/>
    <w:rsid w:val="00343EB4"/>
    <w:rsid w:val="00344AA3"/>
    <w:rsid w:val="0035324A"/>
    <w:rsid w:val="00354FA1"/>
    <w:rsid w:val="003609EF"/>
    <w:rsid w:val="0036231A"/>
    <w:rsid w:val="00363F2E"/>
    <w:rsid w:val="0036485A"/>
    <w:rsid w:val="00374DD4"/>
    <w:rsid w:val="0038559A"/>
    <w:rsid w:val="003924CB"/>
    <w:rsid w:val="003C791B"/>
    <w:rsid w:val="003D2519"/>
    <w:rsid w:val="003E1A36"/>
    <w:rsid w:val="003E291B"/>
    <w:rsid w:val="003F02C5"/>
    <w:rsid w:val="00410371"/>
    <w:rsid w:val="00417278"/>
    <w:rsid w:val="004242F1"/>
    <w:rsid w:val="004373AB"/>
    <w:rsid w:val="004414A9"/>
    <w:rsid w:val="0045006F"/>
    <w:rsid w:val="0045147F"/>
    <w:rsid w:val="0045320F"/>
    <w:rsid w:val="00456761"/>
    <w:rsid w:val="004627B2"/>
    <w:rsid w:val="00466581"/>
    <w:rsid w:val="00466DC4"/>
    <w:rsid w:val="0046755E"/>
    <w:rsid w:val="004717FD"/>
    <w:rsid w:val="0047239E"/>
    <w:rsid w:val="00473CCC"/>
    <w:rsid w:val="00474EB0"/>
    <w:rsid w:val="004A5794"/>
    <w:rsid w:val="004B4532"/>
    <w:rsid w:val="004B75B7"/>
    <w:rsid w:val="004E6F44"/>
    <w:rsid w:val="00515225"/>
    <w:rsid w:val="0051580D"/>
    <w:rsid w:val="00515A76"/>
    <w:rsid w:val="00517EB6"/>
    <w:rsid w:val="005222CC"/>
    <w:rsid w:val="00533E5F"/>
    <w:rsid w:val="0053426F"/>
    <w:rsid w:val="00547111"/>
    <w:rsid w:val="00550226"/>
    <w:rsid w:val="0055383F"/>
    <w:rsid w:val="00564374"/>
    <w:rsid w:val="00580ACC"/>
    <w:rsid w:val="00592D74"/>
    <w:rsid w:val="005A0919"/>
    <w:rsid w:val="005B106F"/>
    <w:rsid w:val="005B671A"/>
    <w:rsid w:val="005C2309"/>
    <w:rsid w:val="005D261C"/>
    <w:rsid w:val="005E2C44"/>
    <w:rsid w:val="005E3F70"/>
    <w:rsid w:val="005F4A8B"/>
    <w:rsid w:val="00615412"/>
    <w:rsid w:val="006171F1"/>
    <w:rsid w:val="00617AD9"/>
    <w:rsid w:val="00621188"/>
    <w:rsid w:val="006257ED"/>
    <w:rsid w:val="00630626"/>
    <w:rsid w:val="006362AF"/>
    <w:rsid w:val="006368D4"/>
    <w:rsid w:val="006410FE"/>
    <w:rsid w:val="00644F63"/>
    <w:rsid w:val="0065248A"/>
    <w:rsid w:val="006647D4"/>
    <w:rsid w:val="0069422D"/>
    <w:rsid w:val="00695808"/>
    <w:rsid w:val="006A1045"/>
    <w:rsid w:val="006B46FB"/>
    <w:rsid w:val="006C732B"/>
    <w:rsid w:val="006D3CC7"/>
    <w:rsid w:val="006D5BA5"/>
    <w:rsid w:val="006E21FB"/>
    <w:rsid w:val="007066A2"/>
    <w:rsid w:val="0071674A"/>
    <w:rsid w:val="0072484C"/>
    <w:rsid w:val="00741AA7"/>
    <w:rsid w:val="007536E9"/>
    <w:rsid w:val="007551F6"/>
    <w:rsid w:val="0075520A"/>
    <w:rsid w:val="007633F5"/>
    <w:rsid w:val="00764034"/>
    <w:rsid w:val="00764E11"/>
    <w:rsid w:val="00773D49"/>
    <w:rsid w:val="0077566E"/>
    <w:rsid w:val="00785539"/>
    <w:rsid w:val="00786A0A"/>
    <w:rsid w:val="00792342"/>
    <w:rsid w:val="007977A8"/>
    <w:rsid w:val="007B512A"/>
    <w:rsid w:val="007C2097"/>
    <w:rsid w:val="007C2D81"/>
    <w:rsid w:val="007D6A07"/>
    <w:rsid w:val="007E5964"/>
    <w:rsid w:val="007F7259"/>
    <w:rsid w:val="008040A8"/>
    <w:rsid w:val="00813B60"/>
    <w:rsid w:val="00820352"/>
    <w:rsid w:val="008279FA"/>
    <w:rsid w:val="00831852"/>
    <w:rsid w:val="00833155"/>
    <w:rsid w:val="0083701E"/>
    <w:rsid w:val="00845F42"/>
    <w:rsid w:val="00846A0D"/>
    <w:rsid w:val="00851705"/>
    <w:rsid w:val="00855C58"/>
    <w:rsid w:val="00857456"/>
    <w:rsid w:val="008626E7"/>
    <w:rsid w:val="00870EE7"/>
    <w:rsid w:val="008802A7"/>
    <w:rsid w:val="008863B9"/>
    <w:rsid w:val="008866C3"/>
    <w:rsid w:val="008943E7"/>
    <w:rsid w:val="00895309"/>
    <w:rsid w:val="008A3EBB"/>
    <w:rsid w:val="008A45A6"/>
    <w:rsid w:val="008A78C1"/>
    <w:rsid w:val="008C10F5"/>
    <w:rsid w:val="008C2BBD"/>
    <w:rsid w:val="008D17FE"/>
    <w:rsid w:val="008E63CE"/>
    <w:rsid w:val="008F01A9"/>
    <w:rsid w:val="008F3B90"/>
    <w:rsid w:val="008F686C"/>
    <w:rsid w:val="00905401"/>
    <w:rsid w:val="00906105"/>
    <w:rsid w:val="00911329"/>
    <w:rsid w:val="009148DE"/>
    <w:rsid w:val="00920355"/>
    <w:rsid w:val="00921F5F"/>
    <w:rsid w:val="00923D2B"/>
    <w:rsid w:val="009247AE"/>
    <w:rsid w:val="00926503"/>
    <w:rsid w:val="00941E30"/>
    <w:rsid w:val="00941EF7"/>
    <w:rsid w:val="0095300A"/>
    <w:rsid w:val="00962E0E"/>
    <w:rsid w:val="00965240"/>
    <w:rsid w:val="00965506"/>
    <w:rsid w:val="00971246"/>
    <w:rsid w:val="009777D9"/>
    <w:rsid w:val="009806BC"/>
    <w:rsid w:val="00991B88"/>
    <w:rsid w:val="009936BC"/>
    <w:rsid w:val="00995960"/>
    <w:rsid w:val="009A5753"/>
    <w:rsid w:val="009A579D"/>
    <w:rsid w:val="009B7A6C"/>
    <w:rsid w:val="009E3297"/>
    <w:rsid w:val="009E59ED"/>
    <w:rsid w:val="009F734F"/>
    <w:rsid w:val="00A008F2"/>
    <w:rsid w:val="00A07319"/>
    <w:rsid w:val="00A137CC"/>
    <w:rsid w:val="00A23553"/>
    <w:rsid w:val="00A246B6"/>
    <w:rsid w:val="00A251F0"/>
    <w:rsid w:val="00A26765"/>
    <w:rsid w:val="00A27479"/>
    <w:rsid w:val="00A36CCA"/>
    <w:rsid w:val="00A47E70"/>
    <w:rsid w:val="00A50CF0"/>
    <w:rsid w:val="00A645E5"/>
    <w:rsid w:val="00A7671C"/>
    <w:rsid w:val="00A914F1"/>
    <w:rsid w:val="00AA2CBC"/>
    <w:rsid w:val="00AA6ABD"/>
    <w:rsid w:val="00AB3899"/>
    <w:rsid w:val="00AC5820"/>
    <w:rsid w:val="00AC5A3B"/>
    <w:rsid w:val="00AD1AA4"/>
    <w:rsid w:val="00AD1CD8"/>
    <w:rsid w:val="00AE2D99"/>
    <w:rsid w:val="00AF7F7F"/>
    <w:rsid w:val="00B050C9"/>
    <w:rsid w:val="00B115E8"/>
    <w:rsid w:val="00B20A5D"/>
    <w:rsid w:val="00B24AA5"/>
    <w:rsid w:val="00B258BB"/>
    <w:rsid w:val="00B26D19"/>
    <w:rsid w:val="00B51F2B"/>
    <w:rsid w:val="00B5536D"/>
    <w:rsid w:val="00B56F0D"/>
    <w:rsid w:val="00B60F21"/>
    <w:rsid w:val="00B6363D"/>
    <w:rsid w:val="00B64343"/>
    <w:rsid w:val="00B67B97"/>
    <w:rsid w:val="00B723EA"/>
    <w:rsid w:val="00B968C8"/>
    <w:rsid w:val="00BA0B2D"/>
    <w:rsid w:val="00BA353C"/>
    <w:rsid w:val="00BA3EC5"/>
    <w:rsid w:val="00BA51D9"/>
    <w:rsid w:val="00BB5DFC"/>
    <w:rsid w:val="00BB75A2"/>
    <w:rsid w:val="00BC14E3"/>
    <w:rsid w:val="00BD209B"/>
    <w:rsid w:val="00BD279D"/>
    <w:rsid w:val="00BD6BB8"/>
    <w:rsid w:val="00BF30BD"/>
    <w:rsid w:val="00C1478D"/>
    <w:rsid w:val="00C17D32"/>
    <w:rsid w:val="00C21A81"/>
    <w:rsid w:val="00C5781A"/>
    <w:rsid w:val="00C61E49"/>
    <w:rsid w:val="00C66BA2"/>
    <w:rsid w:val="00C85EB6"/>
    <w:rsid w:val="00C91A98"/>
    <w:rsid w:val="00C95985"/>
    <w:rsid w:val="00CC5026"/>
    <w:rsid w:val="00CC68D0"/>
    <w:rsid w:val="00CC7524"/>
    <w:rsid w:val="00CD21D3"/>
    <w:rsid w:val="00CD2D98"/>
    <w:rsid w:val="00CF44C8"/>
    <w:rsid w:val="00D03F9A"/>
    <w:rsid w:val="00D06D51"/>
    <w:rsid w:val="00D13BE8"/>
    <w:rsid w:val="00D24991"/>
    <w:rsid w:val="00D3556F"/>
    <w:rsid w:val="00D50255"/>
    <w:rsid w:val="00D66520"/>
    <w:rsid w:val="00D82822"/>
    <w:rsid w:val="00D829B2"/>
    <w:rsid w:val="00D87C2F"/>
    <w:rsid w:val="00DA01AA"/>
    <w:rsid w:val="00DA02D7"/>
    <w:rsid w:val="00DB28F6"/>
    <w:rsid w:val="00DB3349"/>
    <w:rsid w:val="00DB5F38"/>
    <w:rsid w:val="00DC36C6"/>
    <w:rsid w:val="00DD71B3"/>
    <w:rsid w:val="00DD71ED"/>
    <w:rsid w:val="00DE34CF"/>
    <w:rsid w:val="00E06652"/>
    <w:rsid w:val="00E07B92"/>
    <w:rsid w:val="00E13F3D"/>
    <w:rsid w:val="00E14E4D"/>
    <w:rsid w:val="00E15DD2"/>
    <w:rsid w:val="00E16066"/>
    <w:rsid w:val="00E27A72"/>
    <w:rsid w:val="00E34898"/>
    <w:rsid w:val="00E477D6"/>
    <w:rsid w:val="00E86C17"/>
    <w:rsid w:val="00EA4BA4"/>
    <w:rsid w:val="00EB09B7"/>
    <w:rsid w:val="00EC2607"/>
    <w:rsid w:val="00EC7225"/>
    <w:rsid w:val="00ED02C1"/>
    <w:rsid w:val="00EE7D7C"/>
    <w:rsid w:val="00F03DBB"/>
    <w:rsid w:val="00F103F3"/>
    <w:rsid w:val="00F25D98"/>
    <w:rsid w:val="00F300FB"/>
    <w:rsid w:val="00F54E1F"/>
    <w:rsid w:val="00F96C67"/>
    <w:rsid w:val="00FB6386"/>
    <w:rsid w:val="00FC7D32"/>
    <w:rsid w:val="00FF1AB5"/>
    <w:rsid w:val="00FF47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2B30B5DC-9F02-46DC-B6EA-95F7F75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E07B92"/>
    <w:rPr>
      <w:rFonts w:ascii="Times New Roman" w:hAnsi="Times New Roman"/>
      <w:lang w:val="en-GB" w:eastAsia="en-US"/>
    </w:rPr>
  </w:style>
  <w:style w:type="character" w:customStyle="1" w:styleId="THChar">
    <w:name w:val="TH Char"/>
    <w:link w:val="TH"/>
    <w:qFormat/>
    <w:rsid w:val="00833155"/>
    <w:rPr>
      <w:rFonts w:ascii="Arial" w:hAnsi="Arial"/>
      <w:b/>
      <w:lang w:val="en-GB" w:eastAsia="en-US"/>
    </w:rPr>
  </w:style>
  <w:style w:type="character" w:customStyle="1" w:styleId="TFChar">
    <w:name w:val="TF Char"/>
    <w:link w:val="TF"/>
    <w:qFormat/>
    <w:rsid w:val="00833155"/>
    <w:rPr>
      <w:rFonts w:ascii="Arial" w:hAnsi="Arial"/>
      <w:b/>
      <w:lang w:val="en-GB" w:eastAsia="en-US"/>
    </w:rPr>
  </w:style>
  <w:style w:type="character" w:customStyle="1" w:styleId="NOZchn">
    <w:name w:val="NO Zchn"/>
    <w:link w:val="NO"/>
    <w:rsid w:val="00A26765"/>
    <w:rPr>
      <w:rFonts w:ascii="Times New Roman" w:hAnsi="Times New Roman"/>
      <w:lang w:val="en-GB" w:eastAsia="en-US"/>
    </w:rPr>
  </w:style>
  <w:style w:type="character" w:customStyle="1" w:styleId="B1Zchn">
    <w:name w:val="B1 Zchn"/>
    <w:link w:val="B1"/>
    <w:rsid w:val="002D5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75492436">
      <w:bodyDiv w:val="1"/>
      <w:marLeft w:val="0"/>
      <w:marRight w:val="0"/>
      <w:marTop w:val="0"/>
      <w:marBottom w:val="0"/>
      <w:divBdr>
        <w:top w:val="none" w:sz="0" w:space="0" w:color="auto"/>
        <w:left w:val="none" w:sz="0" w:space="0" w:color="auto"/>
        <w:bottom w:val="none" w:sz="0" w:space="0" w:color="auto"/>
        <w:right w:val="none" w:sz="0" w:space="0" w:color="auto"/>
      </w:divBdr>
    </w:div>
    <w:div w:id="599602292">
      <w:bodyDiv w:val="1"/>
      <w:marLeft w:val="0"/>
      <w:marRight w:val="0"/>
      <w:marTop w:val="0"/>
      <w:marBottom w:val="0"/>
      <w:divBdr>
        <w:top w:val="none" w:sz="0" w:space="0" w:color="auto"/>
        <w:left w:val="none" w:sz="0" w:space="0" w:color="auto"/>
        <w:bottom w:val="none" w:sz="0" w:space="0" w:color="auto"/>
        <w:right w:val="none" w:sz="0" w:space="0" w:color="auto"/>
      </w:divBdr>
    </w:div>
    <w:div w:id="857234895">
      <w:bodyDiv w:val="1"/>
      <w:marLeft w:val="0"/>
      <w:marRight w:val="0"/>
      <w:marTop w:val="0"/>
      <w:marBottom w:val="0"/>
      <w:divBdr>
        <w:top w:val="none" w:sz="0" w:space="0" w:color="auto"/>
        <w:left w:val="none" w:sz="0" w:space="0" w:color="auto"/>
        <w:bottom w:val="none" w:sz="0" w:space="0" w:color="auto"/>
        <w:right w:val="none" w:sz="0" w:space="0" w:color="auto"/>
      </w:divBdr>
    </w:div>
    <w:div w:id="1710644495">
      <w:bodyDiv w:val="1"/>
      <w:marLeft w:val="0"/>
      <w:marRight w:val="0"/>
      <w:marTop w:val="0"/>
      <w:marBottom w:val="0"/>
      <w:divBdr>
        <w:top w:val="none" w:sz="0" w:space="0" w:color="auto"/>
        <w:left w:val="none" w:sz="0" w:space="0" w:color="auto"/>
        <w:bottom w:val="none" w:sz="0" w:space="0" w:color="auto"/>
        <w:right w:val="none" w:sz="0" w:space="0" w:color="auto"/>
      </w:divBdr>
    </w:div>
    <w:div w:id="194865796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5.vsd"/><Relationship Id="rId26" Type="http://schemas.openxmlformats.org/officeDocument/2006/relationships/oleObject" Target="embeddings/Microsoft_Visio_2003-2010_Drawing29.vsd"/><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8.vsd"/><Relationship Id="rId32" Type="http://schemas.openxmlformats.org/officeDocument/2006/relationships/package" Target="embeddings/Microsoft_Visio_Drawing5.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7.vsd"/><Relationship Id="rId27" Type="http://schemas.openxmlformats.org/officeDocument/2006/relationships/image" Target="media/image6.emf"/><Relationship Id="rId30" Type="http://schemas.openxmlformats.org/officeDocument/2006/relationships/oleObject" Target="embeddings/Microsoft_Visio_2003-2010_Drawing30.vsd"/><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5AIRPNAIUNRU-859666464-7470</_dlc_DocId>
    <_dlc_DocIdUrl xmlns="71c5aaf6-e6ce-465b-b873-5148d2a4c105">
      <Url>https://nokia.sharepoint.com/sites/c5g/e2earch/_layouts/15/DocIdRedir.aspx?ID=5AIRPNAIUNRU-859666464-7470</Url>
      <Description>5AIRPNAIUNRU-859666464-7470</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262</TotalTime>
  <Pages>1</Pages>
  <Words>4658</Words>
  <Characters>24935</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29534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237</cp:revision>
  <cp:lastPrinted>1900-01-01T15:59:00Z</cp:lastPrinted>
  <dcterms:created xsi:type="dcterms:W3CDTF">2019-04-16T16:15:00Z</dcterms:created>
  <dcterms:modified xsi:type="dcterms:W3CDTF">2020-10-22T23:26:00Z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85c6ba2d-cec5-4174-8b9e-c4c50d37eef5</vt:lpwstr>
  </property>
</Properties>
</file>